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351616829"/>
        <w:docPartObj>
          <w:docPartGallery w:val="Cover Pages"/>
          <w:docPartUnique/>
        </w:docPartObj>
      </w:sdtPr>
      <w:sdtEndPr>
        <w:rPr>
          <w:sz w:val="36"/>
          <w:szCs w:val="36"/>
          <w:lang w:val="en-US"/>
        </w:rPr>
      </w:sdtEndPr>
      <w:sdtContent>
        <w:p w14:paraId="1AC0A1AB" w14:textId="77777777" w:rsidR="009E4627" w:rsidRDefault="009E4627" w:rsidP="0090657A">
          <w:pPr>
            <w:rPr>
              <w:rFonts w:ascii="Arial" w:hAnsi="Arial" w:cs="Arial"/>
              <w:noProof/>
            </w:rPr>
          </w:pPr>
        </w:p>
        <w:tbl>
          <w:tblPr>
            <w:tblpPr w:leftFromText="187" w:rightFromText="187" w:vertAnchor="page" w:horzAnchor="margin" w:tblpY="3224"/>
            <w:tblW w:w="4947" w:type="pct"/>
            <w:tblBorders>
              <w:left w:val="single" w:sz="18" w:space="0" w:color="F39200"/>
            </w:tblBorders>
            <w:tblCellMar>
              <w:left w:w="144" w:type="dxa"/>
              <w:right w:w="115" w:type="dxa"/>
            </w:tblCellMar>
            <w:tblLook w:val="04A0" w:firstRow="1" w:lastRow="0" w:firstColumn="1" w:lastColumn="0" w:noHBand="0" w:noVBand="1"/>
          </w:tblPr>
          <w:tblGrid>
            <w:gridCol w:w="8908"/>
          </w:tblGrid>
          <w:tr w:rsidR="009E4627" w14:paraId="01DBD3F8" w14:textId="77777777" w:rsidTr="001A6F54">
            <w:sdt>
              <w:sdtPr>
                <w:alias w:val="Company"/>
                <w:id w:val="13406915"/>
                <w:placeholder>
                  <w:docPart w:val="6961595D14654C43A2480680D4A4438F"/>
                </w:placeholder>
                <w:dataBinding w:prefixMappings="xmlns:ns0='http://schemas.openxmlformats.org/officeDocument/2006/extended-properties'" w:xpath="/ns0:Properties[1]/ns0:Company[1]" w:storeItemID="{6668398D-A668-4E3E-A5EB-62B293D839F1}"/>
                <w:text/>
              </w:sdtPr>
              <w:sdtContent>
                <w:tc>
                  <w:tcPr>
                    <w:tcW w:w="8908" w:type="dxa"/>
                    <w:tcMar>
                      <w:top w:w="216" w:type="dxa"/>
                      <w:left w:w="115" w:type="dxa"/>
                      <w:bottom w:w="216" w:type="dxa"/>
                      <w:right w:w="115" w:type="dxa"/>
                    </w:tcMar>
                  </w:tcPr>
                  <w:p w14:paraId="6B06E068" w14:textId="31C36720" w:rsidR="009E4627" w:rsidRPr="009E4627" w:rsidRDefault="009E4627" w:rsidP="004D5B0B">
                    <w:r>
                      <w:t>Circularity Toolkit: E-waste Blueprints</w:t>
                    </w:r>
                  </w:p>
                </w:tc>
              </w:sdtContent>
            </w:sdt>
          </w:tr>
          <w:tr w:rsidR="009E4627" w14:paraId="124AD140" w14:textId="77777777" w:rsidTr="001A6F54">
            <w:tc>
              <w:tcPr>
                <w:tcW w:w="8908" w:type="dxa"/>
              </w:tcPr>
              <w:sdt>
                <w:sdtPr>
                  <w:rPr>
                    <w:rFonts w:eastAsiaTheme="majorEastAsia" w:cstheme="majorBidi"/>
                    <w:b/>
                    <w:bCs/>
                    <w:sz w:val="84"/>
                    <w:szCs w:val="84"/>
                  </w:rPr>
                  <w:alias w:val="Title"/>
                  <w:id w:val="13406919"/>
                  <w:placeholder>
                    <w:docPart w:val="78884C71D8A24E66B214A0B85C077899"/>
                  </w:placeholder>
                  <w:dataBinding w:prefixMappings="xmlns:ns0='http://schemas.openxmlformats.org/package/2006/metadata/core-properties' xmlns:ns1='http://purl.org/dc/elements/1.1/'" w:xpath="/ns0:coreProperties[1]/ns1:title[1]" w:storeItemID="{6C3C8BC8-F283-45AE-878A-BAB7291924A1}"/>
                  <w:text/>
                </w:sdtPr>
                <w:sdtContent>
                  <w:p w14:paraId="695F9101" w14:textId="733DAAED" w:rsidR="009E4627" w:rsidRPr="009E4627" w:rsidRDefault="009E4627" w:rsidP="004D5B0B">
                    <w:pPr>
                      <w:rPr>
                        <w:rFonts w:eastAsiaTheme="majorEastAsia" w:cstheme="majorBidi"/>
                        <w:b/>
                        <w:bCs/>
                        <w:sz w:val="84"/>
                        <w:szCs w:val="84"/>
                      </w:rPr>
                    </w:pPr>
                    <w:r>
                      <w:rPr>
                        <w:rFonts w:eastAsiaTheme="majorEastAsia" w:cstheme="majorBidi"/>
                        <w:b/>
                        <w:bCs/>
                        <w:sz w:val="84"/>
                        <w:szCs w:val="84"/>
                      </w:rPr>
                      <w:t>Blueprint SOP</w:t>
                    </w:r>
                  </w:p>
                </w:sdtContent>
              </w:sdt>
            </w:tc>
          </w:tr>
          <w:tr w:rsidR="009E4627" w14:paraId="47E15C68" w14:textId="77777777" w:rsidTr="001A6F54">
            <w:sdt>
              <w:sdtPr>
                <w:rPr>
                  <w:sz w:val="36"/>
                  <w:szCs w:val="36"/>
                </w:rPr>
                <w:alias w:val="Subtitle"/>
                <w:id w:val="13406923"/>
                <w:placeholder>
                  <w:docPart w:val="B76A12248F684297BB56B56FF2EE4D6B"/>
                </w:placeholder>
                <w:dataBinding w:prefixMappings="xmlns:ns0='http://schemas.openxmlformats.org/package/2006/metadata/core-properties' xmlns:ns1='http://purl.org/dc/elements/1.1/'" w:xpath="/ns0:coreProperties[1]/ns1:subject[1]" w:storeItemID="{6C3C8BC8-F283-45AE-878A-BAB7291924A1}"/>
                <w:text/>
              </w:sdtPr>
              <w:sdtContent>
                <w:tc>
                  <w:tcPr>
                    <w:tcW w:w="8908" w:type="dxa"/>
                    <w:tcMar>
                      <w:top w:w="216" w:type="dxa"/>
                      <w:left w:w="115" w:type="dxa"/>
                      <w:bottom w:w="216" w:type="dxa"/>
                      <w:right w:w="115" w:type="dxa"/>
                    </w:tcMar>
                  </w:tcPr>
                  <w:p w14:paraId="5B4A2E5C" w14:textId="519A8997" w:rsidR="009E4627" w:rsidRPr="009E4627" w:rsidRDefault="009E4627" w:rsidP="004D5B0B">
                    <w:pPr>
                      <w:rPr>
                        <w:sz w:val="36"/>
                        <w:szCs w:val="36"/>
                      </w:rPr>
                    </w:pPr>
                    <w:r>
                      <w:rPr>
                        <w:sz w:val="36"/>
                        <w:szCs w:val="36"/>
                      </w:rPr>
                      <w:t>Standard Operating Procedure for e-waste management in an OGS company</w:t>
                    </w:r>
                  </w:p>
                </w:tc>
              </w:sdtContent>
            </w:sdt>
          </w:tr>
        </w:tbl>
        <w:p w14:paraId="59389E13" w14:textId="6F0E84B3" w:rsidR="009E4627" w:rsidRDefault="009E4627" w:rsidP="0090657A">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C15276D" wp14:editId="2B59AB04">
                    <wp:simplePos x="0" y="0"/>
                    <wp:positionH relativeFrom="column">
                      <wp:posOffset>-60960</wp:posOffset>
                    </wp:positionH>
                    <wp:positionV relativeFrom="paragraph">
                      <wp:posOffset>3238500</wp:posOffset>
                    </wp:positionV>
                    <wp:extent cx="5760720" cy="4180115"/>
                    <wp:effectExtent l="0" t="0" r="0" b="0"/>
                    <wp:wrapNone/>
                    <wp:docPr id="3" name="Text Box 3"/>
                    <wp:cNvGraphicFramePr/>
                    <a:graphic xmlns:a="http://schemas.openxmlformats.org/drawingml/2006/main">
                      <a:graphicData uri="http://schemas.microsoft.com/office/word/2010/wordprocessingShape">
                        <wps:wsp>
                          <wps:cNvSpPr txBox="1"/>
                          <wps:spPr>
                            <a:xfrm>
                              <a:off x="0" y="0"/>
                              <a:ext cx="5760720" cy="4180115"/>
                            </a:xfrm>
                            <a:prstGeom prst="rect">
                              <a:avLst/>
                            </a:prstGeom>
                            <a:solidFill>
                              <a:schemeClr val="lt1"/>
                            </a:solidFill>
                            <a:ln w="6350">
                              <a:noFill/>
                            </a:ln>
                          </wps:spPr>
                          <wps:txbx>
                            <w:txbxContent>
                              <w:p w14:paraId="165CC175" w14:textId="77777777" w:rsidR="009E4627" w:rsidRPr="009E4627" w:rsidRDefault="009E4627" w:rsidP="0021068F">
                                <w:pPr>
                                  <w:rPr>
                                    <w:b/>
                                    <w:bCs/>
                                    <w:color w:val="F39200"/>
                                    <w:sz w:val="24"/>
                                    <w:szCs w:val="24"/>
                                  </w:rPr>
                                </w:pPr>
                                <w:r w:rsidRPr="009E4627">
                                  <w:rPr>
                                    <w:b/>
                                    <w:bCs/>
                                    <w:color w:val="F39200"/>
                                    <w:sz w:val="24"/>
                                    <w:szCs w:val="24"/>
                                  </w:rPr>
                                  <w:t>About the Circularity Toolkit: E-Waste Blueprints:</w:t>
                                </w:r>
                              </w:p>
                              <w:p w14:paraId="7F765FA5" w14:textId="77777777" w:rsidR="009E4627" w:rsidRPr="009E4627" w:rsidRDefault="009E4627" w:rsidP="0021068F">
                                <w:r w:rsidRPr="009E4627">
                                  <w:t>GOGLA, with the support of Swedfund, has developed these E-waste Blueprints as part of our Circularity Toolkit to help off-grid solar companies implement and improve e-waste management across their operations.</w:t>
                                </w:r>
                                <w:r w:rsidRPr="009E4627">
                                  <w:rPr>
                                    <w:rFonts w:ascii="Calibri" w:hAnsi="Calibri" w:cs="Calibri"/>
                                  </w:rPr>
                                  <w:t> </w:t>
                                </w:r>
                              </w:p>
                              <w:p w14:paraId="7B403B58" w14:textId="77777777" w:rsidR="009E4627" w:rsidRPr="009E4627" w:rsidRDefault="009E4627" w:rsidP="0021068F">
                                <w:r w:rsidRPr="009E4627">
                                  <w:t>The Blueprints build on the knowledge and best practice identified in phase 1 of our Toolkit. Wherever possible, we have sought to ensure that the Blueprint documents are applicable to a broad cross-section of OGS companies, regardless of company stage, product type or country of operations. However, companies should adapt the Blueprints as necessary to their</w:t>
                                </w:r>
                                <w:r w:rsidRPr="009E4627">
                                  <w:rPr>
                                    <w:rFonts w:ascii="Calibri" w:hAnsi="Calibri" w:cs="Calibri"/>
                                  </w:rPr>
                                  <w:t> </w:t>
                                </w:r>
                                <w:r w:rsidRPr="009E4627">
                                  <w:t>individual operational context.</w:t>
                                </w:r>
                                <w:r w:rsidRPr="009E4627">
                                  <w:rPr>
                                    <w:rFonts w:ascii="Calibri" w:hAnsi="Calibri" w:cs="Calibri"/>
                                  </w:rPr>
                                  <w:t> </w:t>
                                </w:r>
                              </w:p>
                              <w:p w14:paraId="6A31894A" w14:textId="77777777" w:rsidR="009E4627" w:rsidRPr="009E4627" w:rsidRDefault="009E4627" w:rsidP="0021068F">
                                <w:pPr>
                                  <w:rPr>
                                    <w:b/>
                                    <w:bCs/>
                                    <w:color w:val="F39200"/>
                                    <w:sz w:val="24"/>
                                    <w:szCs w:val="24"/>
                                  </w:rPr>
                                </w:pPr>
                                <w:r w:rsidRPr="009E4627">
                                  <w:rPr>
                                    <w:b/>
                                    <w:bCs/>
                                    <w:color w:val="F39200"/>
                                    <w:sz w:val="24"/>
                                    <w:szCs w:val="24"/>
                                  </w:rPr>
                                  <w:t>Acknowledgements:</w:t>
                                </w:r>
                                <w:r w:rsidRPr="009E4627">
                                  <w:rPr>
                                    <w:rFonts w:ascii="Calibri" w:hAnsi="Calibri" w:cs="Calibri"/>
                                    <w:b/>
                                    <w:bCs/>
                                    <w:color w:val="F39200"/>
                                    <w:sz w:val="24"/>
                                    <w:szCs w:val="24"/>
                                  </w:rPr>
                                  <w:t> </w:t>
                                </w:r>
                              </w:p>
                              <w:p w14:paraId="096CD27F" w14:textId="77777777" w:rsidR="009E4627" w:rsidRPr="009E4627" w:rsidRDefault="009E4627" w:rsidP="0021068F">
                                <w:r w:rsidRPr="009E4627">
                                  <w:t xml:space="preserve">GOGLA is grateful to Swedfund for funding the development of the E-waste Blueprints and for their continuous support to GOGLA's ambitions to improve standards of e-waste management in the off-grid solar industry. </w:t>
                                </w:r>
                              </w:p>
                              <w:p w14:paraId="2ED41A38" w14:textId="77777777" w:rsidR="009E4627" w:rsidRPr="009E4627" w:rsidRDefault="009E4627" w:rsidP="0021068F">
                                <w:r w:rsidRPr="009E4627">
                                  <w:t>The Blueprints were</w:t>
                                </w:r>
                                <w:r w:rsidRPr="009E4627">
                                  <w:rPr>
                                    <w:rFonts w:ascii="Calibri" w:hAnsi="Calibri" w:cs="Calibri"/>
                                  </w:rPr>
                                  <w:t> </w:t>
                                </w:r>
                                <w:r w:rsidRPr="009E4627">
                                  <w:t xml:space="preserve">developed by Sofies, in collaboration with </w:t>
                                </w:r>
                                <w:proofErr w:type="spellStart"/>
                                <w:r w:rsidRPr="009E4627">
                                  <w:t>Akinyi</w:t>
                                </w:r>
                                <w:proofErr w:type="spellEnd"/>
                                <w:r w:rsidRPr="009E4627">
                                  <w:t xml:space="preserve"> </w:t>
                                </w:r>
                                <w:proofErr w:type="spellStart"/>
                                <w:r w:rsidRPr="009E4627">
                                  <w:t>Chemutai</w:t>
                                </w:r>
                                <w:proofErr w:type="spellEnd"/>
                                <w:r w:rsidRPr="009E4627">
                                  <w:t xml:space="preserve"> (independent), Charlotte Heffer and</w:t>
                                </w:r>
                                <w:r w:rsidRPr="009E4627">
                                  <w:rPr>
                                    <w:rFonts w:ascii="Calibri" w:hAnsi="Calibri" w:cs="Calibri"/>
                                  </w:rPr>
                                  <w:t> </w:t>
                                </w:r>
                                <w:r w:rsidRPr="009E4627">
                                  <w:t>Wilson Wambugu (d.light),</w:t>
                                </w:r>
                                <w:r w:rsidRPr="009E4627">
                                  <w:rPr>
                                    <w:rFonts w:ascii="Calibri" w:hAnsi="Calibri" w:cs="Calibri"/>
                                  </w:rPr>
                                  <w:t> </w:t>
                                </w:r>
                                <w:r w:rsidRPr="009E4627">
                                  <w:t>and Rebecca Rhodes (GOGLA). Thank you also to those companies and members of our Circularity Working Group who were involved in the consultations that helped us to shape the Blueprint elements of our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5276D" id="_x0000_t202" coordsize="21600,21600" o:spt="202" path="m,l,21600r21600,l21600,xe">
                    <v:stroke joinstyle="miter"/>
                    <v:path gradientshapeok="t" o:connecttype="rect"/>
                  </v:shapetype>
                  <v:shape id="Text Box 3" o:spid="_x0000_s1026" type="#_x0000_t202" style="position:absolute;margin-left:-4.8pt;margin-top:255pt;width:453.6pt;height:3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" fillcolor="white [3201]" stroked="f" strokeweight=".5pt">
                    <v:textbox>
                      <w:txbxContent>
                        <w:p w14:paraId="165CC175" w14:textId="77777777" w:rsidR="009E4627" w:rsidRPr="009E4627" w:rsidRDefault="009E4627" w:rsidP="0021068F">
                          <w:pPr>
                            <w:rPr>
                              <w:b/>
                              <w:bCs/>
                              <w:color w:val="F39200"/>
                              <w:sz w:val="24"/>
                              <w:szCs w:val="24"/>
                            </w:rPr>
                          </w:pPr>
                          <w:r w:rsidRPr="009E4627">
                            <w:rPr>
                              <w:b/>
                              <w:bCs/>
                              <w:color w:val="F39200"/>
                              <w:sz w:val="24"/>
                              <w:szCs w:val="24"/>
                            </w:rPr>
                            <w:t>About the Circularity Toolkit: E-Waste Blueprints:</w:t>
                          </w:r>
                        </w:p>
                        <w:p w14:paraId="7F765FA5" w14:textId="77777777" w:rsidR="009E4627" w:rsidRPr="009E4627" w:rsidRDefault="009E4627" w:rsidP="0021068F">
                          <w:r w:rsidRPr="009E4627">
                            <w:t>GOGLA, with the support of Swedfund, has developed these E-waste Blueprints as part of our Circularity Toolkit to help off-grid solar companies implement and improve e-waste management across their operations.</w:t>
                          </w:r>
                          <w:r w:rsidRPr="009E4627">
                            <w:rPr>
                              <w:rFonts w:ascii="Calibri" w:hAnsi="Calibri" w:cs="Calibri"/>
                            </w:rPr>
                            <w:t> </w:t>
                          </w:r>
                        </w:p>
                        <w:p w14:paraId="7B403B58" w14:textId="77777777" w:rsidR="009E4627" w:rsidRPr="009E4627" w:rsidRDefault="009E4627" w:rsidP="0021068F">
                          <w:r w:rsidRPr="009E4627">
                            <w:t>The Blueprints build on the knowledge and best practice identified in phase 1 of our Toolkit. Wherever possible, we have sought to ensure that the Blueprint documents are applicable to a broad cross-section of OGS companies, regardless of company stage, product type or country of operations. However, companies should adapt the Blueprints as necessary to their</w:t>
                          </w:r>
                          <w:r w:rsidRPr="009E4627">
                            <w:rPr>
                              <w:rFonts w:ascii="Calibri" w:hAnsi="Calibri" w:cs="Calibri"/>
                            </w:rPr>
                            <w:t> </w:t>
                          </w:r>
                          <w:r w:rsidRPr="009E4627">
                            <w:t>individual operational context.</w:t>
                          </w:r>
                          <w:r w:rsidRPr="009E4627">
                            <w:rPr>
                              <w:rFonts w:ascii="Calibri" w:hAnsi="Calibri" w:cs="Calibri"/>
                            </w:rPr>
                            <w:t> </w:t>
                          </w:r>
                        </w:p>
                        <w:p w14:paraId="6A31894A" w14:textId="77777777" w:rsidR="009E4627" w:rsidRPr="009E4627" w:rsidRDefault="009E4627" w:rsidP="0021068F">
                          <w:pPr>
                            <w:rPr>
                              <w:b/>
                              <w:bCs/>
                              <w:color w:val="F39200"/>
                              <w:sz w:val="24"/>
                              <w:szCs w:val="24"/>
                            </w:rPr>
                          </w:pPr>
                          <w:r w:rsidRPr="009E4627">
                            <w:rPr>
                              <w:b/>
                              <w:bCs/>
                              <w:color w:val="F39200"/>
                              <w:sz w:val="24"/>
                              <w:szCs w:val="24"/>
                            </w:rPr>
                            <w:t>Acknowledgements:</w:t>
                          </w:r>
                          <w:r w:rsidRPr="009E4627">
                            <w:rPr>
                              <w:rFonts w:ascii="Calibri" w:hAnsi="Calibri" w:cs="Calibri"/>
                              <w:b/>
                              <w:bCs/>
                              <w:color w:val="F39200"/>
                              <w:sz w:val="24"/>
                              <w:szCs w:val="24"/>
                            </w:rPr>
                            <w:t> </w:t>
                          </w:r>
                        </w:p>
                        <w:p w14:paraId="096CD27F" w14:textId="77777777" w:rsidR="009E4627" w:rsidRPr="009E4627" w:rsidRDefault="009E4627" w:rsidP="0021068F">
                          <w:r w:rsidRPr="009E4627">
                            <w:t xml:space="preserve">GOGLA is grateful to Swedfund for funding the development of the E-waste Blueprints and for their continuous support to GOGLA's ambitions to improve standards of e-waste management in the off-grid solar industry. </w:t>
                          </w:r>
                        </w:p>
                        <w:p w14:paraId="2ED41A38" w14:textId="77777777" w:rsidR="009E4627" w:rsidRPr="009E4627" w:rsidRDefault="009E4627" w:rsidP="0021068F">
                          <w:r w:rsidRPr="009E4627">
                            <w:t>The Blueprints were</w:t>
                          </w:r>
                          <w:r w:rsidRPr="009E4627">
                            <w:rPr>
                              <w:rFonts w:ascii="Calibri" w:hAnsi="Calibri" w:cs="Calibri"/>
                            </w:rPr>
                            <w:t> </w:t>
                          </w:r>
                          <w:r w:rsidRPr="009E4627">
                            <w:t xml:space="preserve">developed by Sofies, in collaboration with </w:t>
                          </w:r>
                          <w:proofErr w:type="spellStart"/>
                          <w:r w:rsidRPr="009E4627">
                            <w:t>Akinyi</w:t>
                          </w:r>
                          <w:proofErr w:type="spellEnd"/>
                          <w:r w:rsidRPr="009E4627">
                            <w:t xml:space="preserve"> </w:t>
                          </w:r>
                          <w:proofErr w:type="spellStart"/>
                          <w:r w:rsidRPr="009E4627">
                            <w:t>Chemutai</w:t>
                          </w:r>
                          <w:proofErr w:type="spellEnd"/>
                          <w:r w:rsidRPr="009E4627">
                            <w:t xml:space="preserve"> (independent), Charlotte Heffer and</w:t>
                          </w:r>
                          <w:r w:rsidRPr="009E4627">
                            <w:rPr>
                              <w:rFonts w:ascii="Calibri" w:hAnsi="Calibri" w:cs="Calibri"/>
                            </w:rPr>
                            <w:t> </w:t>
                          </w:r>
                          <w:r w:rsidRPr="009E4627">
                            <w:t>Wilson Wambugu (d.light),</w:t>
                          </w:r>
                          <w:r w:rsidRPr="009E4627">
                            <w:rPr>
                              <w:rFonts w:ascii="Calibri" w:hAnsi="Calibri" w:cs="Calibri"/>
                            </w:rPr>
                            <w:t> </w:t>
                          </w:r>
                          <w:r w:rsidRPr="009E4627">
                            <w:t>and Rebecca Rhodes (GOGLA). Thank you also to those companies and members of our Circularity Working Group who were involved in the consultations that helped us to shape the Blueprint elements of our Toolkit.</w:t>
                          </w:r>
                        </w:p>
                      </w:txbxContent>
                    </v:textbox>
                  </v:shape>
                </w:pict>
              </mc:Fallback>
            </mc:AlternateContent>
          </w:r>
          <w:r>
            <w:rPr>
              <w:rFonts w:ascii="Arial" w:hAnsi="Arial" w:cs="Arial"/>
            </w:rPr>
            <w:br w:type="page"/>
          </w:r>
        </w:p>
        <w:p w14:paraId="1B05B001" w14:textId="77777777" w:rsidR="001A6F54" w:rsidRDefault="001A6F54" w:rsidP="0090657A">
          <w:pPr>
            <w:rPr>
              <w:rFonts w:ascii="Arial" w:hAnsi="Arial" w:cs="Arial"/>
            </w:rPr>
          </w:pPr>
        </w:p>
        <w:p w14:paraId="0FFD845C" w14:textId="77777777" w:rsidR="0027639E" w:rsidRDefault="009E4627" w:rsidP="00DD14B8">
          <w:pPr>
            <w:rPr>
              <w:rFonts w:ascii="Arial" w:hAnsi="Arial" w:cs="Arial"/>
              <w:sz w:val="36"/>
              <w:szCs w:val="36"/>
              <w:lang w:val="en-US"/>
            </w:rPr>
          </w:pPr>
        </w:p>
      </w:sdtContent>
    </w:sdt>
    <w:p w14:paraId="1C0D2EE6" w14:textId="271A3B29" w:rsidR="009E4627" w:rsidRPr="0027639E" w:rsidRDefault="0027639E" w:rsidP="0027639E">
      <w:pPr>
        <w:pStyle w:val="Heading1"/>
        <w:rPr>
          <w:sz w:val="40"/>
          <w:szCs w:val="40"/>
          <w:lang w:val="en-US"/>
        </w:rPr>
      </w:pPr>
      <w:r w:rsidRPr="0027639E">
        <w:rPr>
          <w:sz w:val="40"/>
          <w:szCs w:val="40"/>
          <w:lang w:val="en-US"/>
        </w:rPr>
        <w:t>Standard Operating Procedure (SOP) for OGS E-waste Management</w:t>
      </w:r>
    </w:p>
    <w:p w14:paraId="406042BB" w14:textId="0512DC44" w:rsidR="006D799B" w:rsidRPr="002D3AB1" w:rsidRDefault="006D799B" w:rsidP="00DD14B8">
      <w:pPr>
        <w:rPr>
          <w:rFonts w:ascii="Arial" w:hAnsi="Arial" w:cs="Arial"/>
          <w:sz w:val="36"/>
          <w:szCs w:val="36"/>
          <w:lang w:val="en-US"/>
        </w:rPr>
      </w:pPr>
    </w:p>
    <w:p w14:paraId="748EE4B0" w14:textId="2A280408" w:rsidR="006D799B" w:rsidRPr="0027639E" w:rsidRDefault="00587F58" w:rsidP="0027639E">
      <w:pPr>
        <w:rPr>
          <w:sz w:val="32"/>
          <w:szCs w:val="32"/>
          <w:lang w:val="en-US"/>
        </w:rPr>
      </w:pPr>
      <w:r w:rsidRPr="0027639E">
        <w:rPr>
          <w:sz w:val="32"/>
          <w:szCs w:val="32"/>
          <w:lang w:val="en-US"/>
        </w:rPr>
        <w:t>[</w:t>
      </w:r>
      <w:r w:rsidRPr="0027639E">
        <w:rPr>
          <w:sz w:val="32"/>
          <w:szCs w:val="32"/>
          <w:highlight w:val="yellow"/>
          <w:lang w:val="en-US"/>
        </w:rPr>
        <w:t xml:space="preserve">Insert </w:t>
      </w:r>
      <w:r w:rsidR="5D1B6B8A" w:rsidRPr="0027639E">
        <w:rPr>
          <w:sz w:val="32"/>
          <w:szCs w:val="32"/>
          <w:highlight w:val="yellow"/>
          <w:lang w:val="en-US"/>
        </w:rPr>
        <w:t>applicable c</w:t>
      </w:r>
      <w:r w:rsidRPr="0027639E">
        <w:rPr>
          <w:sz w:val="32"/>
          <w:szCs w:val="32"/>
          <w:highlight w:val="yellow"/>
          <w:lang w:val="en-US"/>
        </w:rPr>
        <w:t>ountry</w:t>
      </w:r>
      <w:r w:rsidR="4876C63E" w:rsidRPr="0027639E">
        <w:rPr>
          <w:sz w:val="32"/>
          <w:szCs w:val="32"/>
          <w:highlight w:val="yellow"/>
          <w:lang w:val="en-US"/>
        </w:rPr>
        <w:t xml:space="preserve"> of </w:t>
      </w:r>
      <w:r w:rsidR="6656DA98" w:rsidRPr="0027639E">
        <w:rPr>
          <w:sz w:val="32"/>
          <w:szCs w:val="32"/>
          <w:highlight w:val="yellow"/>
          <w:lang w:val="en-US"/>
        </w:rPr>
        <w:t>o</w:t>
      </w:r>
      <w:r w:rsidR="4876C63E" w:rsidRPr="0027639E">
        <w:rPr>
          <w:sz w:val="32"/>
          <w:szCs w:val="32"/>
          <w:highlight w:val="yellow"/>
          <w:lang w:val="en-US"/>
        </w:rPr>
        <w:t>peration</w:t>
      </w:r>
      <w:r w:rsidRPr="0027639E">
        <w:rPr>
          <w:sz w:val="32"/>
          <w:szCs w:val="32"/>
          <w:lang w:val="en-US"/>
        </w:rPr>
        <w:t>]</w:t>
      </w:r>
    </w:p>
    <w:p w14:paraId="536CEF19" w14:textId="151D755D" w:rsidR="00587F58" w:rsidRPr="002D3AB1" w:rsidRDefault="00587F58" w:rsidP="00DD14B8">
      <w:pPr>
        <w:rPr>
          <w:rFonts w:ascii="Arial" w:hAnsi="Arial" w:cs="Arial"/>
          <w:lang w:val="en-US"/>
        </w:rPr>
      </w:pPr>
    </w:p>
    <w:tbl>
      <w:tblPr>
        <w:tblStyle w:val="TableGrid"/>
        <w:tblpPr w:leftFromText="180" w:rightFromText="180" w:vertAnchor="page" w:horzAnchor="margin" w:tblpY="5209"/>
        <w:tblW w:w="0" w:type="auto"/>
        <w:tblLook w:val="04A0" w:firstRow="1" w:lastRow="0" w:firstColumn="1" w:lastColumn="0" w:noHBand="0" w:noVBand="1"/>
      </w:tblPr>
      <w:tblGrid>
        <w:gridCol w:w="2972"/>
        <w:gridCol w:w="6044"/>
      </w:tblGrid>
      <w:tr w:rsidR="00011509" w:rsidRPr="002D3AB1" w14:paraId="3C5BBA1D" w14:textId="77777777" w:rsidTr="00011509">
        <w:tc>
          <w:tcPr>
            <w:tcW w:w="2972" w:type="dxa"/>
          </w:tcPr>
          <w:p w14:paraId="601FE0EA" w14:textId="77777777" w:rsidR="00011509" w:rsidRPr="002D3AB1" w:rsidRDefault="00011509" w:rsidP="00011509">
            <w:pPr>
              <w:rPr>
                <w:rFonts w:ascii="Arial" w:hAnsi="Arial" w:cs="Arial"/>
                <w:lang w:val="en-US"/>
              </w:rPr>
            </w:pPr>
            <w:r w:rsidRPr="002D3AB1">
              <w:rPr>
                <w:rFonts w:ascii="Arial" w:hAnsi="Arial" w:cs="Arial"/>
                <w:lang w:val="en-US"/>
              </w:rPr>
              <w:t>Responsible Department</w:t>
            </w:r>
          </w:p>
        </w:tc>
        <w:tc>
          <w:tcPr>
            <w:tcW w:w="6044" w:type="dxa"/>
          </w:tcPr>
          <w:p w14:paraId="42045C75" w14:textId="77777777" w:rsidR="00011509" w:rsidRPr="002D3AB1" w:rsidRDefault="00011509" w:rsidP="00011509">
            <w:pPr>
              <w:rPr>
                <w:rFonts w:ascii="Arial" w:hAnsi="Arial" w:cs="Arial"/>
                <w:lang w:val="en-US"/>
              </w:rPr>
            </w:pPr>
            <w:r w:rsidRPr="002D3AB1">
              <w:rPr>
                <w:rFonts w:ascii="Arial" w:hAnsi="Arial" w:cs="Arial"/>
                <w:lang w:val="en-US"/>
              </w:rPr>
              <w:t>[Insert Department name]</w:t>
            </w:r>
          </w:p>
        </w:tc>
      </w:tr>
      <w:tr w:rsidR="00011509" w:rsidRPr="002D3AB1" w14:paraId="75386C92" w14:textId="77777777" w:rsidTr="00011509">
        <w:tc>
          <w:tcPr>
            <w:tcW w:w="2972" w:type="dxa"/>
          </w:tcPr>
          <w:p w14:paraId="25FFBA8F" w14:textId="77777777" w:rsidR="00011509" w:rsidRPr="002D3AB1" w:rsidRDefault="00011509" w:rsidP="00011509">
            <w:pPr>
              <w:rPr>
                <w:rFonts w:ascii="Arial" w:hAnsi="Arial" w:cs="Arial"/>
                <w:lang w:val="en-US"/>
              </w:rPr>
            </w:pPr>
            <w:r w:rsidRPr="002D3AB1">
              <w:rPr>
                <w:rFonts w:ascii="Arial" w:hAnsi="Arial" w:cs="Arial"/>
                <w:lang w:val="en-US"/>
              </w:rPr>
              <w:t>Responsible Position</w:t>
            </w:r>
          </w:p>
        </w:tc>
        <w:tc>
          <w:tcPr>
            <w:tcW w:w="6044" w:type="dxa"/>
          </w:tcPr>
          <w:p w14:paraId="5EA4D97D" w14:textId="77777777" w:rsidR="00011509" w:rsidRPr="002D3AB1" w:rsidRDefault="00011509" w:rsidP="00011509">
            <w:pPr>
              <w:rPr>
                <w:rFonts w:ascii="Arial" w:hAnsi="Arial" w:cs="Arial"/>
                <w:lang w:val="en-US"/>
              </w:rPr>
            </w:pPr>
            <w:r w:rsidRPr="002D3AB1">
              <w:rPr>
                <w:rFonts w:ascii="Arial" w:hAnsi="Arial" w:cs="Arial"/>
                <w:lang w:val="en-US"/>
              </w:rPr>
              <w:t>[Insert Responsible Department Position]</w:t>
            </w:r>
          </w:p>
        </w:tc>
      </w:tr>
      <w:tr w:rsidR="00011509" w:rsidRPr="002D3AB1" w14:paraId="2C49E502" w14:textId="77777777" w:rsidTr="00011509">
        <w:tc>
          <w:tcPr>
            <w:tcW w:w="2972" w:type="dxa"/>
          </w:tcPr>
          <w:p w14:paraId="10AA06EA" w14:textId="77777777" w:rsidR="00011509" w:rsidRPr="002D3AB1" w:rsidRDefault="00011509" w:rsidP="00011509">
            <w:pPr>
              <w:rPr>
                <w:rFonts w:ascii="Arial" w:hAnsi="Arial" w:cs="Arial"/>
                <w:lang w:val="en-US"/>
              </w:rPr>
            </w:pPr>
            <w:r w:rsidRPr="002D3AB1">
              <w:rPr>
                <w:rFonts w:ascii="Arial" w:hAnsi="Arial" w:cs="Arial"/>
                <w:lang w:val="en-US"/>
              </w:rPr>
              <w:t>Effective Date</w:t>
            </w:r>
          </w:p>
        </w:tc>
        <w:tc>
          <w:tcPr>
            <w:tcW w:w="6044" w:type="dxa"/>
          </w:tcPr>
          <w:p w14:paraId="65D80BCF" w14:textId="77777777" w:rsidR="00011509" w:rsidRPr="002D3AB1" w:rsidRDefault="00011509" w:rsidP="00011509">
            <w:pPr>
              <w:rPr>
                <w:rFonts w:ascii="Arial" w:hAnsi="Arial" w:cs="Arial"/>
                <w:lang w:val="en-US"/>
              </w:rPr>
            </w:pPr>
            <w:r w:rsidRPr="002D3AB1">
              <w:rPr>
                <w:rFonts w:ascii="Arial" w:hAnsi="Arial" w:cs="Arial"/>
                <w:lang w:val="en-US"/>
              </w:rPr>
              <w:t>[Date when ratified]</w:t>
            </w:r>
          </w:p>
        </w:tc>
      </w:tr>
      <w:tr w:rsidR="00011509" w:rsidRPr="002D3AB1" w14:paraId="160D84A8" w14:textId="77777777" w:rsidTr="00011509">
        <w:tc>
          <w:tcPr>
            <w:tcW w:w="2972" w:type="dxa"/>
          </w:tcPr>
          <w:p w14:paraId="29E34B47" w14:textId="77777777" w:rsidR="00011509" w:rsidRPr="002D3AB1" w:rsidRDefault="00011509" w:rsidP="00011509">
            <w:pPr>
              <w:rPr>
                <w:rFonts w:ascii="Arial" w:hAnsi="Arial" w:cs="Arial"/>
                <w:lang w:val="en-US"/>
              </w:rPr>
            </w:pPr>
            <w:r w:rsidRPr="002D3AB1">
              <w:rPr>
                <w:rFonts w:ascii="Arial" w:hAnsi="Arial" w:cs="Arial"/>
                <w:lang w:val="en-US"/>
              </w:rPr>
              <w:t xml:space="preserve">Approval by </w:t>
            </w:r>
          </w:p>
        </w:tc>
        <w:tc>
          <w:tcPr>
            <w:tcW w:w="6044" w:type="dxa"/>
          </w:tcPr>
          <w:p w14:paraId="0FCBBC8F" w14:textId="77777777" w:rsidR="00011509" w:rsidRPr="002D3AB1" w:rsidRDefault="00011509" w:rsidP="00011509">
            <w:pPr>
              <w:rPr>
                <w:rFonts w:ascii="Arial" w:hAnsi="Arial" w:cs="Arial"/>
                <w:lang w:val="en-US"/>
              </w:rPr>
            </w:pPr>
            <w:r w:rsidRPr="002D3AB1">
              <w:rPr>
                <w:rFonts w:ascii="Arial" w:hAnsi="Arial" w:cs="Arial"/>
                <w:lang w:val="en-US"/>
              </w:rPr>
              <w:t>[First name Last name, Role] (for all required approvers) on [DD/MM/YYYY]</w:t>
            </w:r>
          </w:p>
        </w:tc>
      </w:tr>
      <w:tr w:rsidR="00011509" w:rsidRPr="002D3AB1" w14:paraId="0D2DA597" w14:textId="77777777" w:rsidTr="00011509">
        <w:tc>
          <w:tcPr>
            <w:tcW w:w="2972" w:type="dxa"/>
          </w:tcPr>
          <w:p w14:paraId="1FA6D82E" w14:textId="77777777" w:rsidR="00011509" w:rsidRPr="002D3AB1" w:rsidRDefault="00011509" w:rsidP="00011509">
            <w:pPr>
              <w:rPr>
                <w:rFonts w:ascii="Arial" w:hAnsi="Arial" w:cs="Arial"/>
                <w:lang w:val="en-US"/>
              </w:rPr>
            </w:pPr>
            <w:r w:rsidRPr="002D3AB1">
              <w:rPr>
                <w:rFonts w:ascii="Arial" w:hAnsi="Arial" w:cs="Arial"/>
                <w:lang w:val="en-US"/>
              </w:rPr>
              <w:t xml:space="preserve">Last modified by and when </w:t>
            </w:r>
          </w:p>
        </w:tc>
        <w:tc>
          <w:tcPr>
            <w:tcW w:w="6044" w:type="dxa"/>
          </w:tcPr>
          <w:p w14:paraId="5EC02A8F" w14:textId="77777777" w:rsidR="00011509" w:rsidRPr="002D3AB1" w:rsidRDefault="00011509" w:rsidP="00011509">
            <w:pPr>
              <w:rPr>
                <w:rFonts w:ascii="Arial" w:hAnsi="Arial" w:cs="Arial"/>
                <w:lang w:val="en-US"/>
              </w:rPr>
            </w:pPr>
            <w:r w:rsidRPr="002D3AB1">
              <w:rPr>
                <w:rFonts w:ascii="Arial" w:hAnsi="Arial" w:cs="Arial"/>
                <w:lang w:val="en-US"/>
              </w:rPr>
              <w:t>[First name Last name, Role] on [DD/MM/YYYY]</w:t>
            </w:r>
          </w:p>
        </w:tc>
      </w:tr>
      <w:tr w:rsidR="00011509" w:rsidRPr="002D3AB1" w14:paraId="7CCCF7C5" w14:textId="77777777" w:rsidTr="00011509">
        <w:tc>
          <w:tcPr>
            <w:tcW w:w="2972" w:type="dxa"/>
          </w:tcPr>
          <w:p w14:paraId="2B364C14" w14:textId="77777777" w:rsidR="00011509" w:rsidRPr="002D3AB1" w:rsidRDefault="00011509" w:rsidP="00011509">
            <w:pPr>
              <w:rPr>
                <w:rFonts w:ascii="Arial" w:hAnsi="Arial" w:cs="Arial"/>
                <w:lang w:val="en-US"/>
              </w:rPr>
            </w:pPr>
            <w:r w:rsidRPr="002D3AB1">
              <w:rPr>
                <w:rFonts w:ascii="Arial" w:hAnsi="Arial" w:cs="Arial"/>
                <w:lang w:val="en-US"/>
              </w:rPr>
              <w:t>Changes made since the last version</w:t>
            </w:r>
          </w:p>
        </w:tc>
        <w:tc>
          <w:tcPr>
            <w:tcW w:w="6044" w:type="dxa"/>
          </w:tcPr>
          <w:p w14:paraId="5D1153E9" w14:textId="77777777" w:rsidR="00011509" w:rsidRPr="002D3AB1" w:rsidRDefault="00011509" w:rsidP="00011509">
            <w:pPr>
              <w:rPr>
                <w:rFonts w:ascii="Arial" w:hAnsi="Arial" w:cs="Arial"/>
                <w:lang w:val="en-US"/>
              </w:rPr>
            </w:pPr>
            <w:r w:rsidRPr="002D3AB1">
              <w:rPr>
                <w:rFonts w:ascii="Arial" w:hAnsi="Arial" w:cs="Arial"/>
                <w:lang w:val="en-US"/>
              </w:rPr>
              <w:t>[Summary description of changes made since last version saved]</w:t>
            </w:r>
          </w:p>
        </w:tc>
      </w:tr>
    </w:tbl>
    <w:p w14:paraId="37897C32" w14:textId="77777777" w:rsidR="008D580D" w:rsidRPr="002D3AB1" w:rsidRDefault="008D580D" w:rsidP="00DD14B8">
      <w:pPr>
        <w:rPr>
          <w:rFonts w:ascii="Arial" w:hAnsi="Arial" w:cs="Arial"/>
          <w:lang w:val="en-US"/>
        </w:rPr>
      </w:pPr>
    </w:p>
    <w:p w14:paraId="13D484FF" w14:textId="77777777" w:rsidR="008D580D" w:rsidRPr="002D3AB1" w:rsidRDefault="008D580D" w:rsidP="00DD14B8">
      <w:pPr>
        <w:rPr>
          <w:rFonts w:ascii="Arial" w:hAnsi="Arial" w:cs="Arial"/>
          <w:lang w:val="en-US"/>
        </w:rPr>
      </w:pPr>
    </w:p>
    <w:p w14:paraId="46B2064A" w14:textId="5B9A67CB" w:rsidR="0027639E" w:rsidRDefault="00706B7C" w:rsidP="45B6EE63">
      <w:pPr>
        <w:rPr>
          <w:rFonts w:ascii="Arial" w:hAnsi="Arial" w:cs="Arial"/>
          <w:i/>
          <w:iCs/>
          <w:color w:val="4472C4" w:themeColor="accent1"/>
          <w:lang w:val="en-US"/>
        </w:rPr>
      </w:pPr>
      <w:r w:rsidRPr="45B6EE63">
        <w:rPr>
          <w:rFonts w:ascii="Arial" w:hAnsi="Arial" w:cs="Arial"/>
          <w:b/>
          <w:bCs/>
          <w:i/>
          <w:iCs/>
          <w:color w:val="4472C4" w:themeColor="accent1"/>
          <w:lang w:val="en-US"/>
        </w:rPr>
        <w:t xml:space="preserve">Note to authors: </w:t>
      </w:r>
      <w:r w:rsidRPr="45B6EE63">
        <w:rPr>
          <w:rFonts w:ascii="Arial" w:hAnsi="Arial" w:cs="Arial"/>
          <w:i/>
          <w:iCs/>
          <w:color w:val="4472C4" w:themeColor="accent1"/>
          <w:lang w:val="en-US"/>
        </w:rPr>
        <w:t xml:space="preserve">This </w:t>
      </w:r>
      <w:r w:rsidR="009E46B2" w:rsidRPr="45B6EE63">
        <w:rPr>
          <w:rFonts w:ascii="Arial" w:hAnsi="Arial" w:cs="Arial"/>
          <w:i/>
          <w:iCs/>
          <w:color w:val="4472C4" w:themeColor="accent1"/>
          <w:lang w:val="en-US"/>
        </w:rPr>
        <w:t>standard operating procedure</w:t>
      </w:r>
      <w:r w:rsidR="00D37A5D" w:rsidRPr="45B6EE63">
        <w:rPr>
          <w:rFonts w:ascii="Arial" w:hAnsi="Arial" w:cs="Arial"/>
          <w:i/>
          <w:iCs/>
          <w:color w:val="4472C4" w:themeColor="accent1"/>
          <w:lang w:val="en-US"/>
        </w:rPr>
        <w:t xml:space="preserve"> </w:t>
      </w:r>
      <w:r w:rsidR="009E46B2" w:rsidRPr="45B6EE63">
        <w:rPr>
          <w:rFonts w:ascii="Arial" w:hAnsi="Arial" w:cs="Arial"/>
          <w:i/>
          <w:iCs/>
          <w:color w:val="4472C4" w:themeColor="accent1"/>
          <w:lang w:val="en-US"/>
        </w:rPr>
        <w:t>(SOP)</w:t>
      </w:r>
      <w:r w:rsidRPr="45B6EE63">
        <w:rPr>
          <w:rFonts w:ascii="Arial" w:hAnsi="Arial" w:cs="Arial"/>
          <w:i/>
          <w:iCs/>
          <w:color w:val="4472C4" w:themeColor="accent1"/>
          <w:lang w:val="en-US"/>
        </w:rPr>
        <w:t xml:space="preserve"> template is designed to provide</w:t>
      </w:r>
      <w:r w:rsidR="1B4DEE11" w:rsidRPr="45B6EE63">
        <w:rPr>
          <w:rFonts w:ascii="Arial" w:hAnsi="Arial" w:cs="Arial"/>
          <w:i/>
          <w:iCs/>
          <w:color w:val="4472C4" w:themeColor="accent1"/>
          <w:lang w:val="en-US"/>
        </w:rPr>
        <w:t xml:space="preserve"> </w:t>
      </w:r>
      <w:r w:rsidR="00AD1198" w:rsidRPr="45B6EE63">
        <w:rPr>
          <w:rFonts w:ascii="Arial" w:hAnsi="Arial" w:cs="Arial"/>
          <w:i/>
          <w:iCs/>
          <w:color w:val="4472C4" w:themeColor="accent1"/>
          <w:lang w:val="en-US"/>
        </w:rPr>
        <w:t xml:space="preserve">operational guidance </w:t>
      </w:r>
      <w:r w:rsidR="0027639E">
        <w:rPr>
          <w:rFonts w:ascii="Arial" w:hAnsi="Arial" w:cs="Arial"/>
          <w:i/>
          <w:iCs/>
          <w:color w:val="4472C4" w:themeColor="accent1"/>
          <w:lang w:val="en-US"/>
        </w:rPr>
        <w:t xml:space="preserve">for </w:t>
      </w:r>
      <w:r w:rsidRPr="45B6EE63">
        <w:rPr>
          <w:rFonts w:ascii="Arial" w:hAnsi="Arial" w:cs="Arial"/>
          <w:i/>
          <w:iCs/>
          <w:color w:val="4472C4" w:themeColor="accent1"/>
          <w:lang w:val="en-US"/>
        </w:rPr>
        <w:t xml:space="preserve">effective e-waste </w:t>
      </w:r>
      <w:r w:rsidR="0016292B" w:rsidRPr="45B6EE63">
        <w:rPr>
          <w:rFonts w:ascii="Arial" w:hAnsi="Arial" w:cs="Arial"/>
          <w:i/>
          <w:iCs/>
          <w:color w:val="4472C4" w:themeColor="accent1"/>
          <w:lang w:val="en-US"/>
        </w:rPr>
        <w:t>management</w:t>
      </w:r>
      <w:r w:rsidR="0027639E">
        <w:rPr>
          <w:rFonts w:ascii="Arial" w:hAnsi="Arial" w:cs="Arial"/>
          <w:i/>
          <w:iCs/>
          <w:color w:val="4472C4" w:themeColor="accent1"/>
          <w:lang w:val="en-US"/>
        </w:rPr>
        <w:t xml:space="preserve"> within your OGS company. The SOP should be tailored to provide country-level operating procedures for each market in which you operate, using the e-waste process flow as a guide. </w:t>
      </w:r>
    </w:p>
    <w:p w14:paraId="4F461889" w14:textId="1086F57C" w:rsidR="00706B7C" w:rsidRDefault="0027639E" w:rsidP="45B6EE63">
      <w:pPr>
        <w:rPr>
          <w:rFonts w:ascii="Arial" w:hAnsi="Arial" w:cs="Arial"/>
          <w:i/>
          <w:iCs/>
          <w:color w:val="4472C4" w:themeColor="accent1"/>
          <w:lang w:val="en-US"/>
        </w:rPr>
      </w:pPr>
      <w:r>
        <w:rPr>
          <w:rFonts w:ascii="Arial" w:hAnsi="Arial" w:cs="Arial"/>
          <w:i/>
          <w:iCs/>
          <w:color w:val="4472C4" w:themeColor="accent1"/>
          <w:lang w:val="en-US"/>
        </w:rPr>
        <w:t xml:space="preserve">We recommend that the SOPs are developed with country-level operational managers and is adapted </w:t>
      </w:r>
      <w:r w:rsidR="00706B7C" w:rsidRPr="45B6EE63">
        <w:rPr>
          <w:rFonts w:ascii="Arial" w:hAnsi="Arial" w:cs="Arial"/>
          <w:i/>
          <w:iCs/>
          <w:color w:val="4472C4" w:themeColor="accent1"/>
          <w:lang w:val="en-US"/>
        </w:rPr>
        <w:t xml:space="preserve">as </w:t>
      </w:r>
      <w:r>
        <w:rPr>
          <w:rFonts w:ascii="Arial" w:hAnsi="Arial" w:cs="Arial"/>
          <w:i/>
          <w:iCs/>
          <w:color w:val="4472C4" w:themeColor="accent1"/>
          <w:lang w:val="en-US"/>
        </w:rPr>
        <w:t>necessary</w:t>
      </w:r>
      <w:r w:rsidR="00706B7C" w:rsidRPr="45B6EE63">
        <w:rPr>
          <w:rFonts w:ascii="Arial" w:hAnsi="Arial" w:cs="Arial"/>
          <w:i/>
          <w:iCs/>
          <w:color w:val="4472C4" w:themeColor="accent1"/>
          <w:lang w:val="en-US"/>
        </w:rPr>
        <w:t xml:space="preserve"> to </w:t>
      </w:r>
      <w:r>
        <w:rPr>
          <w:rFonts w:ascii="Arial" w:hAnsi="Arial" w:cs="Arial"/>
          <w:i/>
          <w:iCs/>
          <w:color w:val="4472C4" w:themeColor="accent1"/>
          <w:lang w:val="en-US"/>
        </w:rPr>
        <w:t>the</w:t>
      </w:r>
      <w:r w:rsidR="00706B7C" w:rsidRPr="45B6EE63">
        <w:rPr>
          <w:rFonts w:ascii="Arial" w:hAnsi="Arial" w:cs="Arial"/>
          <w:i/>
          <w:iCs/>
          <w:color w:val="4472C4" w:themeColor="accent1"/>
          <w:lang w:val="en-US"/>
        </w:rPr>
        <w:t xml:space="preserve"> company’s stage,</w:t>
      </w:r>
      <w:r>
        <w:rPr>
          <w:rFonts w:ascii="Arial" w:hAnsi="Arial" w:cs="Arial"/>
          <w:i/>
          <w:iCs/>
          <w:color w:val="4472C4" w:themeColor="accent1"/>
          <w:lang w:val="en-US"/>
        </w:rPr>
        <w:t xml:space="preserve"> resources,</w:t>
      </w:r>
      <w:r w:rsidR="00706B7C" w:rsidRPr="45B6EE63">
        <w:rPr>
          <w:rFonts w:ascii="Arial" w:hAnsi="Arial" w:cs="Arial"/>
          <w:i/>
          <w:iCs/>
          <w:color w:val="4472C4" w:themeColor="accent1"/>
          <w:lang w:val="en-US"/>
        </w:rPr>
        <w:t xml:space="preserve"> </w:t>
      </w:r>
      <w:r>
        <w:rPr>
          <w:rFonts w:ascii="Arial" w:hAnsi="Arial" w:cs="Arial"/>
          <w:i/>
          <w:iCs/>
          <w:color w:val="4472C4" w:themeColor="accent1"/>
          <w:lang w:val="en-US"/>
        </w:rPr>
        <w:t xml:space="preserve">ambitions </w:t>
      </w:r>
      <w:r w:rsidR="00706B7C" w:rsidRPr="45B6EE63">
        <w:rPr>
          <w:rFonts w:ascii="Arial" w:hAnsi="Arial" w:cs="Arial"/>
          <w:i/>
          <w:iCs/>
          <w:color w:val="4472C4" w:themeColor="accent1"/>
          <w:lang w:val="en-US"/>
        </w:rPr>
        <w:t>for e-waste management</w:t>
      </w:r>
      <w:r>
        <w:rPr>
          <w:rFonts w:ascii="Arial" w:hAnsi="Arial" w:cs="Arial"/>
          <w:i/>
          <w:iCs/>
          <w:color w:val="4472C4" w:themeColor="accent1"/>
          <w:lang w:val="en-US"/>
        </w:rPr>
        <w:t xml:space="preserve"> and external factors such as regulatory environment or availability of recycling facilities. </w:t>
      </w:r>
    </w:p>
    <w:p w14:paraId="248461F4" w14:textId="05AE8132" w:rsidR="00011509" w:rsidRDefault="00011509" w:rsidP="45B6EE63">
      <w:pPr>
        <w:rPr>
          <w:rFonts w:ascii="Arial" w:hAnsi="Arial" w:cs="Arial"/>
          <w:i/>
          <w:iCs/>
          <w:color w:val="4472C4" w:themeColor="accent1"/>
          <w:lang w:val="en-US"/>
        </w:rPr>
      </w:pPr>
    </w:p>
    <w:p w14:paraId="129F0D72" w14:textId="77777777" w:rsidR="00011509" w:rsidRPr="00706B7C" w:rsidRDefault="00011509" w:rsidP="45B6EE63">
      <w:pPr>
        <w:rPr>
          <w:rFonts w:ascii="Arial" w:hAnsi="Arial" w:cs="Arial"/>
          <w:i/>
          <w:iCs/>
          <w:color w:val="4472C4" w:themeColor="accent1"/>
          <w:lang w:val="en-US"/>
        </w:rPr>
      </w:pPr>
    </w:p>
    <w:tbl>
      <w:tblPr>
        <w:tblStyle w:val="TableGrid"/>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140"/>
      </w:tblGrid>
      <w:tr w:rsidR="00011509" w14:paraId="0E9E3D11" w14:textId="77777777" w:rsidTr="004D5B0B">
        <w:tc>
          <w:tcPr>
            <w:tcW w:w="2978" w:type="dxa"/>
          </w:tcPr>
          <w:p w14:paraId="5111E359" w14:textId="77777777" w:rsidR="00011509" w:rsidRDefault="00011509" w:rsidP="004D5B0B">
            <w:pPr>
              <w:spacing w:before="120" w:after="0"/>
              <w:rPr>
                <w:color w:val="000000" w:themeColor="text1"/>
              </w:rPr>
            </w:pPr>
            <w:r w:rsidRPr="007722A3">
              <w:rPr>
                <w:color w:val="000000" w:themeColor="text1"/>
                <w:highlight w:val="yellow"/>
              </w:rPr>
              <w:t>Text highlighted in yellow</w:t>
            </w:r>
          </w:p>
        </w:tc>
        <w:tc>
          <w:tcPr>
            <w:tcW w:w="6380" w:type="dxa"/>
          </w:tcPr>
          <w:p w14:paraId="364BA24D" w14:textId="77777777" w:rsidR="00011509" w:rsidRDefault="00011509" w:rsidP="004D5B0B">
            <w:pPr>
              <w:spacing w:before="120" w:after="0"/>
              <w:rPr>
                <w:color w:val="000000" w:themeColor="text1"/>
              </w:rPr>
            </w:pPr>
            <w:r w:rsidRPr="4CF42248">
              <w:rPr>
                <w:color w:val="000000" w:themeColor="text1"/>
              </w:rPr>
              <w:t>Insert required information</w:t>
            </w:r>
          </w:p>
        </w:tc>
      </w:tr>
      <w:tr w:rsidR="00011509" w14:paraId="5103CEA2" w14:textId="77777777" w:rsidTr="004D5B0B">
        <w:tc>
          <w:tcPr>
            <w:tcW w:w="2978" w:type="dxa"/>
          </w:tcPr>
          <w:p w14:paraId="67996787" w14:textId="77777777" w:rsidR="00011509" w:rsidRDefault="00011509" w:rsidP="004D5B0B">
            <w:pPr>
              <w:spacing w:before="120" w:after="0"/>
              <w:rPr>
                <w:color w:val="000000" w:themeColor="text1"/>
              </w:rPr>
            </w:pPr>
            <w:r w:rsidRPr="007722A3">
              <w:rPr>
                <w:color w:val="000000" w:themeColor="text1"/>
                <w:highlight w:val="cyan"/>
              </w:rPr>
              <w:t>Text highlighted in blue</w:t>
            </w:r>
            <w:r w:rsidRPr="753C6AA4">
              <w:rPr>
                <w:color w:val="000000" w:themeColor="text1"/>
              </w:rPr>
              <w:t xml:space="preserve"> </w:t>
            </w:r>
          </w:p>
        </w:tc>
        <w:tc>
          <w:tcPr>
            <w:tcW w:w="6380" w:type="dxa"/>
          </w:tcPr>
          <w:p w14:paraId="03258249" w14:textId="77777777" w:rsidR="00011509" w:rsidRDefault="00011509" w:rsidP="004D5B0B">
            <w:pPr>
              <w:spacing w:before="120" w:after="0"/>
              <w:rPr>
                <w:color w:val="000000" w:themeColor="text1"/>
              </w:rPr>
            </w:pPr>
            <w:r w:rsidRPr="753C6AA4">
              <w:rPr>
                <w:color w:val="000000" w:themeColor="text1"/>
              </w:rPr>
              <w:t xml:space="preserve">Recommended minimum options, for all </w:t>
            </w:r>
            <w:r>
              <w:rPr>
                <w:color w:val="000000" w:themeColor="text1"/>
              </w:rPr>
              <w:t xml:space="preserve">OGS </w:t>
            </w:r>
            <w:r w:rsidRPr="753C6AA4">
              <w:rPr>
                <w:color w:val="000000" w:themeColor="text1"/>
              </w:rPr>
              <w:t>companies regardless of stage</w:t>
            </w:r>
            <w:r>
              <w:rPr>
                <w:color w:val="000000" w:themeColor="text1"/>
              </w:rPr>
              <w:t xml:space="preserve"> or geographical cover</w:t>
            </w:r>
          </w:p>
        </w:tc>
      </w:tr>
      <w:tr w:rsidR="00011509" w14:paraId="69D2AAAB" w14:textId="77777777" w:rsidTr="004D5B0B">
        <w:tc>
          <w:tcPr>
            <w:tcW w:w="2978" w:type="dxa"/>
          </w:tcPr>
          <w:p w14:paraId="1A1B0BD3" w14:textId="77777777" w:rsidR="00011509" w:rsidRDefault="00011509" w:rsidP="004D5B0B">
            <w:pPr>
              <w:spacing w:before="120" w:after="0"/>
              <w:rPr>
                <w:color w:val="000000" w:themeColor="text1"/>
              </w:rPr>
            </w:pPr>
            <w:r w:rsidRPr="007722A3">
              <w:rPr>
                <w:color w:val="000000" w:themeColor="text1"/>
                <w:highlight w:val="green"/>
              </w:rPr>
              <w:t>Text highlighted in green</w:t>
            </w:r>
            <w:r w:rsidRPr="4CF42248">
              <w:rPr>
                <w:color w:val="000000" w:themeColor="text1"/>
              </w:rPr>
              <w:t xml:space="preserve"> </w:t>
            </w:r>
          </w:p>
          <w:p w14:paraId="1AA16882" w14:textId="77777777" w:rsidR="00011509" w:rsidRDefault="00011509" w:rsidP="004D5B0B">
            <w:pPr>
              <w:spacing w:before="120" w:after="0"/>
              <w:rPr>
                <w:color w:val="000000" w:themeColor="text1"/>
              </w:rPr>
            </w:pPr>
          </w:p>
        </w:tc>
        <w:tc>
          <w:tcPr>
            <w:tcW w:w="6380" w:type="dxa"/>
          </w:tcPr>
          <w:p w14:paraId="3D330850" w14:textId="77777777" w:rsidR="00011509" w:rsidRDefault="00011509" w:rsidP="004D5B0B">
            <w:pPr>
              <w:spacing w:before="120" w:after="0"/>
              <w:rPr>
                <w:color w:val="000000" w:themeColor="text1"/>
              </w:rPr>
            </w:pPr>
            <w:r w:rsidRPr="4CF42248">
              <w:rPr>
                <w:color w:val="000000" w:themeColor="text1"/>
              </w:rPr>
              <w:t>Recommended options for mature, or multi-national companies</w:t>
            </w:r>
          </w:p>
        </w:tc>
      </w:tr>
      <w:tr w:rsidR="00011509" w14:paraId="3E57D75E" w14:textId="77777777" w:rsidTr="004D5B0B">
        <w:tc>
          <w:tcPr>
            <w:tcW w:w="2978" w:type="dxa"/>
          </w:tcPr>
          <w:p w14:paraId="51EA5882" w14:textId="77777777" w:rsidR="00011509" w:rsidRDefault="00011509" w:rsidP="004D5B0B">
            <w:pPr>
              <w:spacing w:before="120" w:after="0"/>
              <w:rPr>
                <w:color w:val="000000" w:themeColor="text1"/>
              </w:rPr>
            </w:pPr>
            <w:r w:rsidRPr="00762AC5">
              <w:rPr>
                <w:color w:val="000000" w:themeColor="text1"/>
                <w:highlight w:val="magenta"/>
              </w:rPr>
              <w:t>Text highlighted in purple</w:t>
            </w:r>
            <w:r>
              <w:rPr>
                <w:color w:val="000000" w:themeColor="text1"/>
              </w:rPr>
              <w:t xml:space="preserve"> </w:t>
            </w:r>
          </w:p>
        </w:tc>
        <w:tc>
          <w:tcPr>
            <w:tcW w:w="6380" w:type="dxa"/>
          </w:tcPr>
          <w:p w14:paraId="26524CC5" w14:textId="77777777" w:rsidR="00011509" w:rsidRDefault="00011509" w:rsidP="004D5B0B">
            <w:pPr>
              <w:spacing w:before="120" w:after="0"/>
              <w:rPr>
                <w:color w:val="000000" w:themeColor="text1"/>
              </w:rPr>
            </w:pPr>
            <w:r>
              <w:rPr>
                <w:color w:val="000000" w:themeColor="text1"/>
              </w:rPr>
              <w:t>If applicable to the company (e.g. vertically integrated or manufacturers)</w:t>
            </w:r>
          </w:p>
        </w:tc>
      </w:tr>
      <w:tr w:rsidR="00011509" w14:paraId="2EA3B31A" w14:textId="77777777" w:rsidTr="004D5B0B">
        <w:tc>
          <w:tcPr>
            <w:tcW w:w="2978" w:type="dxa"/>
          </w:tcPr>
          <w:p w14:paraId="4AEDF4A9" w14:textId="77777777" w:rsidR="00011509" w:rsidRDefault="00011509" w:rsidP="004D5B0B">
            <w:pPr>
              <w:spacing w:before="120" w:after="0"/>
              <w:rPr>
                <w:color w:val="000000" w:themeColor="text1"/>
              </w:rPr>
            </w:pPr>
            <w:r w:rsidRPr="00762AC5">
              <w:rPr>
                <w:b/>
                <w:bCs/>
                <w:i/>
                <w:iCs/>
                <w:color w:val="5B9BD5" w:themeColor="accent5"/>
              </w:rPr>
              <w:t xml:space="preserve">Text in blue </w:t>
            </w:r>
            <w:r>
              <w:rPr>
                <w:b/>
                <w:bCs/>
                <w:i/>
                <w:iCs/>
                <w:color w:val="5B9BD5" w:themeColor="accent5"/>
              </w:rPr>
              <w:t xml:space="preserve">bold </w:t>
            </w:r>
            <w:r w:rsidRPr="00762AC5">
              <w:rPr>
                <w:b/>
                <w:bCs/>
                <w:i/>
                <w:iCs/>
                <w:color w:val="5B9BD5" w:themeColor="accent5"/>
              </w:rPr>
              <w:t>italics</w:t>
            </w:r>
            <w:r w:rsidRPr="00762AC5">
              <w:rPr>
                <w:color w:val="5B9BD5" w:themeColor="accent5"/>
              </w:rPr>
              <w:t xml:space="preserve"> </w:t>
            </w:r>
          </w:p>
        </w:tc>
        <w:tc>
          <w:tcPr>
            <w:tcW w:w="6380" w:type="dxa"/>
          </w:tcPr>
          <w:p w14:paraId="25CFC41F" w14:textId="77777777" w:rsidR="00011509" w:rsidRDefault="00011509" w:rsidP="004D5B0B">
            <w:pPr>
              <w:spacing w:before="120" w:after="0"/>
              <w:rPr>
                <w:color w:val="000000" w:themeColor="text1"/>
              </w:rPr>
            </w:pPr>
            <w:r w:rsidRPr="4CF42248">
              <w:rPr>
                <w:color w:val="000000" w:themeColor="text1"/>
              </w:rPr>
              <w:t>Note to author</w:t>
            </w:r>
          </w:p>
        </w:tc>
      </w:tr>
    </w:tbl>
    <w:p w14:paraId="50FFC7BC" w14:textId="77777777" w:rsidR="008D580D" w:rsidRPr="002D3AB1" w:rsidRDefault="008D580D" w:rsidP="00DD14B8">
      <w:pPr>
        <w:rPr>
          <w:rFonts w:ascii="Arial" w:hAnsi="Arial" w:cs="Arial"/>
          <w:lang w:val="en-US"/>
        </w:rPr>
      </w:pPr>
    </w:p>
    <w:p w14:paraId="4B29FA4B" w14:textId="1A9D632F" w:rsidR="008D580D" w:rsidRPr="002D3AB1" w:rsidRDefault="008D580D" w:rsidP="00DD14B8">
      <w:pPr>
        <w:rPr>
          <w:rFonts w:ascii="Arial" w:hAnsi="Arial" w:cs="Arial"/>
          <w:lang w:val="en-US"/>
        </w:rPr>
      </w:pPr>
    </w:p>
    <w:bookmarkStart w:id="0" w:name="_Toc80114589" w:displacedByCustomXml="next"/>
    <w:bookmarkStart w:id="1" w:name="_Toc83021338" w:displacedByCustomXml="next"/>
    <w:sdt>
      <w:sdtPr>
        <w:rPr>
          <w:rFonts w:ascii="Arial" w:eastAsiaTheme="minorHAnsi" w:hAnsi="Arial" w:cs="Arial"/>
          <w:color w:val="auto"/>
          <w:sz w:val="22"/>
          <w:szCs w:val="22"/>
        </w:rPr>
        <w:id w:val="928237899"/>
        <w:docPartObj>
          <w:docPartGallery w:val="Table of Contents"/>
          <w:docPartUnique/>
        </w:docPartObj>
      </w:sdtPr>
      <w:sdtEndPr>
        <w:rPr>
          <w:b/>
          <w:bCs/>
          <w:noProof/>
          <w:color w:val="122948"/>
        </w:rPr>
      </w:sdtEndPr>
      <w:sdtContent>
        <w:p w14:paraId="12EEC243" w14:textId="5D9AEE04" w:rsidR="00235E64" w:rsidRPr="00011509" w:rsidRDefault="00235E64" w:rsidP="00DD14B8">
          <w:pPr>
            <w:pStyle w:val="Heading1"/>
          </w:pPr>
          <w:r w:rsidRPr="00011509">
            <w:t>Contents</w:t>
          </w:r>
          <w:bookmarkEnd w:id="1"/>
          <w:bookmarkEnd w:id="0"/>
        </w:p>
        <w:p w14:paraId="627DE65D" w14:textId="29878150" w:rsidR="003174D6" w:rsidRDefault="00235E64">
          <w:pPr>
            <w:pStyle w:val="TOC1"/>
            <w:tabs>
              <w:tab w:val="right" w:leader="dot" w:pos="9016"/>
            </w:tabs>
            <w:rPr>
              <w:rFonts w:eastAsiaTheme="minorEastAsia"/>
              <w:noProof/>
              <w:lang w:val="en-US" w:eastAsia="ja-JP"/>
            </w:rPr>
          </w:pPr>
          <w:r w:rsidRPr="002D3AB1">
            <w:rPr>
              <w:rFonts w:ascii="Arial" w:hAnsi="Arial" w:cs="Arial"/>
            </w:rPr>
            <w:fldChar w:fldCharType="begin"/>
          </w:r>
          <w:r w:rsidRPr="002D3AB1">
            <w:rPr>
              <w:rFonts w:ascii="Arial" w:hAnsi="Arial" w:cs="Arial"/>
            </w:rPr>
            <w:instrText xml:space="preserve"> TOC \o "1-3" \h \z \u </w:instrText>
          </w:r>
          <w:r w:rsidRPr="002D3AB1">
            <w:rPr>
              <w:rFonts w:ascii="Arial" w:hAnsi="Arial" w:cs="Arial"/>
            </w:rPr>
            <w:fldChar w:fldCharType="separate"/>
          </w:r>
          <w:hyperlink w:anchor="_Toc83021340" w:history="1">
            <w:r w:rsidR="003174D6" w:rsidRPr="007A48EC">
              <w:rPr>
                <w:rStyle w:val="Hyperlink"/>
                <w:rFonts w:ascii="Arial" w:hAnsi="Arial" w:cs="Arial"/>
                <w:noProof/>
                <w:lang w:val="en-US"/>
              </w:rPr>
              <w:t>Process Statement</w:t>
            </w:r>
            <w:r w:rsidR="003174D6">
              <w:rPr>
                <w:noProof/>
                <w:webHidden/>
              </w:rPr>
              <w:tab/>
            </w:r>
            <w:r w:rsidR="003174D6">
              <w:rPr>
                <w:noProof/>
                <w:webHidden/>
              </w:rPr>
              <w:fldChar w:fldCharType="begin"/>
            </w:r>
            <w:r w:rsidR="003174D6">
              <w:rPr>
                <w:noProof/>
                <w:webHidden/>
              </w:rPr>
              <w:instrText xml:space="preserve"> PAGEREF _Toc83021340 \h </w:instrText>
            </w:r>
            <w:r w:rsidR="003174D6">
              <w:rPr>
                <w:noProof/>
                <w:webHidden/>
              </w:rPr>
            </w:r>
            <w:r w:rsidR="003174D6">
              <w:rPr>
                <w:noProof/>
                <w:webHidden/>
              </w:rPr>
              <w:fldChar w:fldCharType="separate"/>
            </w:r>
            <w:r w:rsidR="003174D6">
              <w:rPr>
                <w:noProof/>
                <w:webHidden/>
              </w:rPr>
              <w:t>3</w:t>
            </w:r>
            <w:r w:rsidR="003174D6">
              <w:rPr>
                <w:noProof/>
                <w:webHidden/>
              </w:rPr>
              <w:fldChar w:fldCharType="end"/>
            </w:r>
          </w:hyperlink>
        </w:p>
        <w:p w14:paraId="12FB5F7F" w14:textId="26B0D4F6" w:rsidR="003174D6" w:rsidRDefault="002D7C8A">
          <w:pPr>
            <w:pStyle w:val="TOC1"/>
            <w:tabs>
              <w:tab w:val="right" w:leader="dot" w:pos="9016"/>
            </w:tabs>
            <w:rPr>
              <w:rFonts w:eastAsiaTheme="minorEastAsia"/>
              <w:noProof/>
              <w:lang w:val="en-US" w:eastAsia="ja-JP"/>
            </w:rPr>
          </w:pPr>
          <w:hyperlink w:anchor="_Toc83021341" w:history="1">
            <w:r w:rsidR="003174D6" w:rsidRPr="007A48EC">
              <w:rPr>
                <w:rStyle w:val="Hyperlink"/>
                <w:rFonts w:ascii="Arial" w:hAnsi="Arial" w:cs="Arial"/>
                <w:noProof/>
                <w:lang w:val="en-US"/>
              </w:rPr>
              <w:t>Scope</w:t>
            </w:r>
            <w:r w:rsidR="003174D6">
              <w:rPr>
                <w:noProof/>
                <w:webHidden/>
              </w:rPr>
              <w:tab/>
            </w:r>
            <w:r w:rsidR="003174D6">
              <w:rPr>
                <w:noProof/>
                <w:webHidden/>
              </w:rPr>
              <w:fldChar w:fldCharType="begin"/>
            </w:r>
            <w:r w:rsidR="003174D6">
              <w:rPr>
                <w:noProof/>
                <w:webHidden/>
              </w:rPr>
              <w:instrText xml:space="preserve"> PAGEREF _Toc83021341 \h </w:instrText>
            </w:r>
            <w:r w:rsidR="003174D6">
              <w:rPr>
                <w:noProof/>
                <w:webHidden/>
              </w:rPr>
            </w:r>
            <w:r w:rsidR="003174D6">
              <w:rPr>
                <w:noProof/>
                <w:webHidden/>
              </w:rPr>
              <w:fldChar w:fldCharType="separate"/>
            </w:r>
            <w:r w:rsidR="003174D6">
              <w:rPr>
                <w:noProof/>
                <w:webHidden/>
              </w:rPr>
              <w:t>3</w:t>
            </w:r>
            <w:r w:rsidR="003174D6">
              <w:rPr>
                <w:noProof/>
                <w:webHidden/>
              </w:rPr>
              <w:fldChar w:fldCharType="end"/>
            </w:r>
          </w:hyperlink>
        </w:p>
        <w:p w14:paraId="508B3938" w14:textId="3BF7DC38" w:rsidR="003174D6" w:rsidRDefault="002D7C8A">
          <w:pPr>
            <w:pStyle w:val="TOC1"/>
            <w:tabs>
              <w:tab w:val="right" w:leader="dot" w:pos="9016"/>
            </w:tabs>
            <w:rPr>
              <w:rFonts w:eastAsiaTheme="minorEastAsia"/>
              <w:noProof/>
              <w:lang w:val="en-US" w:eastAsia="ja-JP"/>
            </w:rPr>
          </w:pPr>
          <w:hyperlink w:anchor="_Toc83021342" w:history="1">
            <w:r w:rsidR="003174D6" w:rsidRPr="007A48EC">
              <w:rPr>
                <w:rStyle w:val="Hyperlink"/>
                <w:rFonts w:ascii="Arial" w:hAnsi="Arial" w:cs="Arial"/>
                <w:noProof/>
                <w:lang w:val="en-US"/>
              </w:rPr>
              <w:t>Legal Framework</w:t>
            </w:r>
            <w:r w:rsidR="003174D6">
              <w:rPr>
                <w:noProof/>
                <w:webHidden/>
              </w:rPr>
              <w:tab/>
            </w:r>
            <w:r w:rsidR="003174D6">
              <w:rPr>
                <w:noProof/>
                <w:webHidden/>
              </w:rPr>
              <w:fldChar w:fldCharType="begin"/>
            </w:r>
            <w:r w:rsidR="003174D6">
              <w:rPr>
                <w:noProof/>
                <w:webHidden/>
              </w:rPr>
              <w:instrText xml:space="preserve"> PAGEREF _Toc83021342 \h </w:instrText>
            </w:r>
            <w:r w:rsidR="003174D6">
              <w:rPr>
                <w:noProof/>
                <w:webHidden/>
              </w:rPr>
            </w:r>
            <w:r w:rsidR="003174D6">
              <w:rPr>
                <w:noProof/>
                <w:webHidden/>
              </w:rPr>
              <w:fldChar w:fldCharType="separate"/>
            </w:r>
            <w:r w:rsidR="003174D6">
              <w:rPr>
                <w:noProof/>
                <w:webHidden/>
              </w:rPr>
              <w:t>3</w:t>
            </w:r>
            <w:r w:rsidR="003174D6">
              <w:rPr>
                <w:noProof/>
                <w:webHidden/>
              </w:rPr>
              <w:fldChar w:fldCharType="end"/>
            </w:r>
          </w:hyperlink>
        </w:p>
        <w:p w14:paraId="081EE806" w14:textId="46FB1D7B" w:rsidR="003174D6" w:rsidRDefault="002D7C8A">
          <w:pPr>
            <w:pStyle w:val="TOC1"/>
            <w:tabs>
              <w:tab w:val="right" w:leader="dot" w:pos="9016"/>
            </w:tabs>
            <w:rPr>
              <w:rFonts w:eastAsiaTheme="minorEastAsia"/>
              <w:noProof/>
              <w:lang w:val="en-US" w:eastAsia="ja-JP"/>
            </w:rPr>
          </w:pPr>
          <w:hyperlink w:anchor="_Toc83021343" w:history="1">
            <w:r w:rsidR="003174D6" w:rsidRPr="007A48EC">
              <w:rPr>
                <w:rStyle w:val="Hyperlink"/>
                <w:rFonts w:ascii="Arial" w:hAnsi="Arial" w:cs="Arial"/>
                <w:noProof/>
                <w:lang w:val="en-US"/>
              </w:rPr>
              <w:t>Relationship Management (i.e. Partnerships)</w:t>
            </w:r>
            <w:r w:rsidR="003174D6">
              <w:rPr>
                <w:noProof/>
                <w:webHidden/>
              </w:rPr>
              <w:tab/>
            </w:r>
            <w:r w:rsidR="003174D6">
              <w:rPr>
                <w:noProof/>
                <w:webHidden/>
              </w:rPr>
              <w:fldChar w:fldCharType="begin"/>
            </w:r>
            <w:r w:rsidR="003174D6">
              <w:rPr>
                <w:noProof/>
                <w:webHidden/>
              </w:rPr>
              <w:instrText xml:space="preserve"> PAGEREF _Toc83021343 \h </w:instrText>
            </w:r>
            <w:r w:rsidR="003174D6">
              <w:rPr>
                <w:noProof/>
                <w:webHidden/>
              </w:rPr>
            </w:r>
            <w:r w:rsidR="003174D6">
              <w:rPr>
                <w:noProof/>
                <w:webHidden/>
              </w:rPr>
              <w:fldChar w:fldCharType="separate"/>
            </w:r>
            <w:r w:rsidR="003174D6">
              <w:rPr>
                <w:noProof/>
                <w:webHidden/>
              </w:rPr>
              <w:t>3</w:t>
            </w:r>
            <w:r w:rsidR="003174D6">
              <w:rPr>
                <w:noProof/>
                <w:webHidden/>
              </w:rPr>
              <w:fldChar w:fldCharType="end"/>
            </w:r>
          </w:hyperlink>
        </w:p>
        <w:p w14:paraId="24B7D705" w14:textId="60B9F954" w:rsidR="003174D6" w:rsidRDefault="002D7C8A">
          <w:pPr>
            <w:pStyle w:val="TOC1"/>
            <w:tabs>
              <w:tab w:val="right" w:leader="dot" w:pos="9016"/>
            </w:tabs>
            <w:rPr>
              <w:rFonts w:eastAsiaTheme="minorEastAsia"/>
              <w:noProof/>
              <w:lang w:val="en-US" w:eastAsia="ja-JP"/>
            </w:rPr>
          </w:pPr>
          <w:hyperlink w:anchor="_Toc83021344" w:history="1">
            <w:r w:rsidR="003174D6" w:rsidRPr="007A48EC">
              <w:rPr>
                <w:rStyle w:val="Hyperlink"/>
                <w:rFonts w:ascii="Arial" w:hAnsi="Arial" w:cs="Arial"/>
                <w:noProof/>
                <w:lang w:val="en-US"/>
              </w:rPr>
              <w:t>Roles and Responsibilities</w:t>
            </w:r>
            <w:r w:rsidR="003174D6">
              <w:rPr>
                <w:noProof/>
                <w:webHidden/>
              </w:rPr>
              <w:tab/>
            </w:r>
            <w:r w:rsidR="003174D6">
              <w:rPr>
                <w:noProof/>
                <w:webHidden/>
              </w:rPr>
              <w:fldChar w:fldCharType="begin"/>
            </w:r>
            <w:r w:rsidR="003174D6">
              <w:rPr>
                <w:noProof/>
                <w:webHidden/>
              </w:rPr>
              <w:instrText xml:space="preserve"> PAGEREF _Toc83021344 \h </w:instrText>
            </w:r>
            <w:r w:rsidR="003174D6">
              <w:rPr>
                <w:noProof/>
                <w:webHidden/>
              </w:rPr>
            </w:r>
            <w:r w:rsidR="003174D6">
              <w:rPr>
                <w:noProof/>
                <w:webHidden/>
              </w:rPr>
              <w:fldChar w:fldCharType="separate"/>
            </w:r>
            <w:r w:rsidR="003174D6">
              <w:rPr>
                <w:noProof/>
                <w:webHidden/>
              </w:rPr>
              <w:t>4</w:t>
            </w:r>
            <w:r w:rsidR="003174D6">
              <w:rPr>
                <w:noProof/>
                <w:webHidden/>
              </w:rPr>
              <w:fldChar w:fldCharType="end"/>
            </w:r>
          </w:hyperlink>
        </w:p>
        <w:p w14:paraId="3BC08E11" w14:textId="0174FB20" w:rsidR="003174D6" w:rsidRDefault="002D7C8A">
          <w:pPr>
            <w:pStyle w:val="TOC1"/>
            <w:tabs>
              <w:tab w:val="right" w:leader="dot" w:pos="9016"/>
            </w:tabs>
            <w:rPr>
              <w:rFonts w:eastAsiaTheme="minorEastAsia"/>
              <w:noProof/>
              <w:lang w:val="en-US" w:eastAsia="ja-JP"/>
            </w:rPr>
          </w:pPr>
          <w:hyperlink w:anchor="_Toc83021345" w:history="1">
            <w:r w:rsidR="003174D6" w:rsidRPr="007A48EC">
              <w:rPr>
                <w:rStyle w:val="Hyperlink"/>
                <w:rFonts w:ascii="Arial" w:hAnsi="Arial" w:cs="Arial"/>
                <w:noProof/>
                <w:lang w:val="en-US"/>
              </w:rPr>
              <w:t>E-waste Process Flow</w:t>
            </w:r>
            <w:r w:rsidR="003174D6">
              <w:rPr>
                <w:noProof/>
                <w:webHidden/>
              </w:rPr>
              <w:tab/>
            </w:r>
            <w:r w:rsidR="003174D6">
              <w:rPr>
                <w:noProof/>
                <w:webHidden/>
              </w:rPr>
              <w:fldChar w:fldCharType="begin"/>
            </w:r>
            <w:r w:rsidR="003174D6">
              <w:rPr>
                <w:noProof/>
                <w:webHidden/>
              </w:rPr>
              <w:instrText xml:space="preserve"> PAGEREF _Toc83021345 \h </w:instrText>
            </w:r>
            <w:r w:rsidR="003174D6">
              <w:rPr>
                <w:noProof/>
                <w:webHidden/>
              </w:rPr>
            </w:r>
            <w:r w:rsidR="003174D6">
              <w:rPr>
                <w:noProof/>
                <w:webHidden/>
              </w:rPr>
              <w:fldChar w:fldCharType="separate"/>
            </w:r>
            <w:r w:rsidR="003174D6">
              <w:rPr>
                <w:noProof/>
                <w:webHidden/>
              </w:rPr>
              <w:t>4</w:t>
            </w:r>
            <w:r w:rsidR="003174D6">
              <w:rPr>
                <w:noProof/>
                <w:webHidden/>
              </w:rPr>
              <w:fldChar w:fldCharType="end"/>
            </w:r>
          </w:hyperlink>
        </w:p>
        <w:p w14:paraId="6C9F441A" w14:textId="5CEFF942" w:rsidR="00235E64" w:rsidRPr="002D3AB1" w:rsidRDefault="00235E64" w:rsidP="00DD14B8">
          <w:pPr>
            <w:rPr>
              <w:rFonts w:ascii="Arial" w:hAnsi="Arial" w:cs="Arial"/>
            </w:rPr>
          </w:pPr>
          <w:r w:rsidRPr="002D3AB1">
            <w:rPr>
              <w:rFonts w:ascii="Arial" w:hAnsi="Arial" w:cs="Arial"/>
              <w:b/>
              <w:bCs/>
              <w:noProof/>
            </w:rPr>
            <w:fldChar w:fldCharType="end"/>
          </w:r>
        </w:p>
      </w:sdtContent>
    </w:sdt>
    <w:p w14:paraId="252309C5" w14:textId="77777777" w:rsidR="00BE69B6" w:rsidRDefault="00BE69B6" w:rsidP="00BE69B6">
      <w:pPr>
        <w:pStyle w:val="Heading1"/>
      </w:pPr>
      <w:bookmarkStart w:id="2" w:name="_Toc83021339"/>
    </w:p>
    <w:p w14:paraId="1ECBC223" w14:textId="4062B0BD" w:rsidR="00DB73F1" w:rsidRPr="00BE69B6" w:rsidRDefault="00DB73F1" w:rsidP="00BE69B6">
      <w:pPr>
        <w:pStyle w:val="Heading1"/>
      </w:pPr>
      <w:r w:rsidRPr="00BE69B6">
        <w:t>Acronyms and Definitions</w:t>
      </w:r>
      <w:bookmarkEnd w:id="2"/>
      <w:r w:rsidRPr="00BE69B6">
        <w:t xml:space="preserve"> </w:t>
      </w:r>
    </w:p>
    <w:tbl>
      <w:tblPr>
        <w:tblStyle w:val="TableGridLight"/>
        <w:tblW w:w="0" w:type="auto"/>
        <w:tblLook w:val="04A0" w:firstRow="1" w:lastRow="0" w:firstColumn="1" w:lastColumn="0" w:noHBand="0" w:noVBand="1"/>
      </w:tblPr>
      <w:tblGrid>
        <w:gridCol w:w="988"/>
        <w:gridCol w:w="4677"/>
        <w:gridCol w:w="1097"/>
        <w:gridCol w:w="2254"/>
      </w:tblGrid>
      <w:tr w:rsidR="00656FCE" w:rsidRPr="002D3AB1" w14:paraId="374A72BF" w14:textId="77777777" w:rsidTr="242237F1">
        <w:tc>
          <w:tcPr>
            <w:tcW w:w="988" w:type="dxa"/>
          </w:tcPr>
          <w:p w14:paraId="32BCF4A4" w14:textId="330FDCC5" w:rsidR="00656FCE" w:rsidRPr="0052466E" w:rsidRDefault="00205323" w:rsidP="00DD14B8">
            <w:pPr>
              <w:rPr>
                <w:rFonts w:ascii="Arial" w:hAnsi="Arial" w:cs="Arial"/>
                <w:color w:val="AEAAAA" w:themeColor="background2" w:themeShade="BF"/>
                <w:lang w:val="en-US"/>
              </w:rPr>
            </w:pPr>
            <w:r w:rsidRPr="0052466E">
              <w:rPr>
                <w:rFonts w:ascii="Arial" w:hAnsi="Arial" w:cs="Arial"/>
                <w:color w:val="AEAAAA" w:themeColor="background2" w:themeShade="BF"/>
                <w:lang w:val="en-US"/>
              </w:rPr>
              <w:t>SOP</w:t>
            </w:r>
          </w:p>
        </w:tc>
        <w:tc>
          <w:tcPr>
            <w:tcW w:w="4677" w:type="dxa"/>
          </w:tcPr>
          <w:p w14:paraId="160202A9" w14:textId="48622065" w:rsidR="00656FCE" w:rsidRPr="0052466E" w:rsidRDefault="00205323" w:rsidP="00DD14B8">
            <w:pPr>
              <w:rPr>
                <w:rFonts w:ascii="Arial" w:hAnsi="Arial" w:cs="Arial"/>
                <w:color w:val="AEAAAA" w:themeColor="background2" w:themeShade="BF"/>
                <w:lang w:val="en-US"/>
              </w:rPr>
            </w:pPr>
            <w:r w:rsidRPr="0052466E">
              <w:rPr>
                <w:rFonts w:ascii="Arial" w:hAnsi="Arial" w:cs="Arial"/>
                <w:color w:val="AEAAAA" w:themeColor="background2" w:themeShade="BF"/>
                <w:lang w:val="en-US"/>
              </w:rPr>
              <w:t>Standard Operating Procedures</w:t>
            </w:r>
          </w:p>
        </w:tc>
        <w:tc>
          <w:tcPr>
            <w:tcW w:w="1097" w:type="dxa"/>
          </w:tcPr>
          <w:p w14:paraId="662CC105" w14:textId="77777777" w:rsidR="00656FCE" w:rsidRPr="002D3AB1" w:rsidRDefault="00656FCE" w:rsidP="00DD14B8">
            <w:pPr>
              <w:rPr>
                <w:rFonts w:ascii="Arial" w:hAnsi="Arial" w:cs="Arial"/>
                <w:lang w:val="en-US"/>
              </w:rPr>
            </w:pPr>
          </w:p>
        </w:tc>
        <w:tc>
          <w:tcPr>
            <w:tcW w:w="2254" w:type="dxa"/>
          </w:tcPr>
          <w:p w14:paraId="5DF5BC6C" w14:textId="77777777" w:rsidR="00656FCE" w:rsidRPr="002D3AB1" w:rsidRDefault="00656FCE" w:rsidP="00DD14B8">
            <w:pPr>
              <w:rPr>
                <w:rFonts w:ascii="Arial" w:hAnsi="Arial" w:cs="Arial"/>
                <w:lang w:val="en-US"/>
              </w:rPr>
            </w:pPr>
          </w:p>
        </w:tc>
      </w:tr>
      <w:tr w:rsidR="00656FCE" w:rsidRPr="002D3AB1" w14:paraId="47C02A8B" w14:textId="77777777" w:rsidTr="242237F1">
        <w:tc>
          <w:tcPr>
            <w:tcW w:w="988" w:type="dxa"/>
          </w:tcPr>
          <w:p w14:paraId="3E20D85D" w14:textId="77777777" w:rsidR="00656FCE" w:rsidRPr="002D3AB1" w:rsidRDefault="00656FCE" w:rsidP="00DD14B8">
            <w:pPr>
              <w:rPr>
                <w:rFonts w:ascii="Arial" w:hAnsi="Arial" w:cs="Arial"/>
                <w:lang w:val="en-US"/>
              </w:rPr>
            </w:pPr>
          </w:p>
        </w:tc>
        <w:tc>
          <w:tcPr>
            <w:tcW w:w="4677" w:type="dxa"/>
          </w:tcPr>
          <w:p w14:paraId="0D192C7F" w14:textId="77777777" w:rsidR="00656FCE" w:rsidRPr="002D3AB1" w:rsidRDefault="00656FCE" w:rsidP="00DD14B8">
            <w:pPr>
              <w:rPr>
                <w:rFonts w:ascii="Arial" w:hAnsi="Arial" w:cs="Arial"/>
                <w:lang w:val="en-US"/>
              </w:rPr>
            </w:pPr>
          </w:p>
        </w:tc>
        <w:tc>
          <w:tcPr>
            <w:tcW w:w="1097" w:type="dxa"/>
          </w:tcPr>
          <w:p w14:paraId="19CCCD45" w14:textId="77777777" w:rsidR="00656FCE" w:rsidRPr="002D3AB1" w:rsidRDefault="00656FCE" w:rsidP="00DD14B8">
            <w:pPr>
              <w:rPr>
                <w:rFonts w:ascii="Arial" w:hAnsi="Arial" w:cs="Arial"/>
                <w:lang w:val="en-US"/>
              </w:rPr>
            </w:pPr>
          </w:p>
        </w:tc>
        <w:tc>
          <w:tcPr>
            <w:tcW w:w="2254" w:type="dxa"/>
          </w:tcPr>
          <w:p w14:paraId="60EB8E55" w14:textId="77777777" w:rsidR="00656FCE" w:rsidRPr="002D3AB1" w:rsidRDefault="00656FCE" w:rsidP="00DD14B8">
            <w:pPr>
              <w:rPr>
                <w:rFonts w:ascii="Arial" w:hAnsi="Arial" w:cs="Arial"/>
                <w:lang w:val="en-US"/>
              </w:rPr>
            </w:pPr>
          </w:p>
        </w:tc>
      </w:tr>
      <w:tr w:rsidR="00656FCE" w:rsidRPr="002D3AB1" w14:paraId="5496E736" w14:textId="77777777" w:rsidTr="242237F1">
        <w:tc>
          <w:tcPr>
            <w:tcW w:w="988" w:type="dxa"/>
          </w:tcPr>
          <w:p w14:paraId="322D0444" w14:textId="77777777" w:rsidR="00656FCE" w:rsidRPr="002D3AB1" w:rsidRDefault="00656FCE" w:rsidP="00DD14B8">
            <w:pPr>
              <w:rPr>
                <w:rFonts w:ascii="Arial" w:hAnsi="Arial" w:cs="Arial"/>
                <w:lang w:val="en-US"/>
              </w:rPr>
            </w:pPr>
          </w:p>
        </w:tc>
        <w:tc>
          <w:tcPr>
            <w:tcW w:w="4677" w:type="dxa"/>
          </w:tcPr>
          <w:p w14:paraId="04098284" w14:textId="77777777" w:rsidR="00656FCE" w:rsidRPr="002D3AB1" w:rsidRDefault="00656FCE" w:rsidP="00DD14B8">
            <w:pPr>
              <w:rPr>
                <w:rFonts w:ascii="Arial" w:hAnsi="Arial" w:cs="Arial"/>
                <w:lang w:val="en-US"/>
              </w:rPr>
            </w:pPr>
          </w:p>
        </w:tc>
        <w:tc>
          <w:tcPr>
            <w:tcW w:w="1097" w:type="dxa"/>
          </w:tcPr>
          <w:p w14:paraId="7BE0C54F" w14:textId="77777777" w:rsidR="00656FCE" w:rsidRPr="002D3AB1" w:rsidRDefault="00656FCE" w:rsidP="00DD14B8">
            <w:pPr>
              <w:rPr>
                <w:rFonts w:ascii="Arial" w:hAnsi="Arial" w:cs="Arial"/>
                <w:lang w:val="en-US"/>
              </w:rPr>
            </w:pPr>
          </w:p>
        </w:tc>
        <w:tc>
          <w:tcPr>
            <w:tcW w:w="2254" w:type="dxa"/>
          </w:tcPr>
          <w:p w14:paraId="78FE7336" w14:textId="77777777" w:rsidR="00656FCE" w:rsidRPr="002D3AB1" w:rsidRDefault="00656FCE" w:rsidP="00DD14B8">
            <w:pPr>
              <w:rPr>
                <w:rFonts w:ascii="Arial" w:hAnsi="Arial" w:cs="Arial"/>
                <w:lang w:val="en-US"/>
              </w:rPr>
            </w:pPr>
          </w:p>
        </w:tc>
      </w:tr>
      <w:tr w:rsidR="00656FCE" w:rsidRPr="002D3AB1" w14:paraId="70C4924E" w14:textId="77777777" w:rsidTr="242237F1">
        <w:tc>
          <w:tcPr>
            <w:tcW w:w="988" w:type="dxa"/>
          </w:tcPr>
          <w:p w14:paraId="3C30E18D" w14:textId="77777777" w:rsidR="00656FCE" w:rsidRPr="002D3AB1" w:rsidRDefault="00656FCE" w:rsidP="00DD14B8">
            <w:pPr>
              <w:rPr>
                <w:rFonts w:ascii="Arial" w:hAnsi="Arial" w:cs="Arial"/>
                <w:lang w:val="en-US"/>
              </w:rPr>
            </w:pPr>
          </w:p>
        </w:tc>
        <w:tc>
          <w:tcPr>
            <w:tcW w:w="4677" w:type="dxa"/>
          </w:tcPr>
          <w:p w14:paraId="3A49BD62" w14:textId="77777777" w:rsidR="00656FCE" w:rsidRPr="002D3AB1" w:rsidRDefault="00656FCE" w:rsidP="00DD14B8">
            <w:pPr>
              <w:rPr>
                <w:rFonts w:ascii="Arial" w:hAnsi="Arial" w:cs="Arial"/>
                <w:lang w:val="en-US"/>
              </w:rPr>
            </w:pPr>
          </w:p>
        </w:tc>
        <w:tc>
          <w:tcPr>
            <w:tcW w:w="1097" w:type="dxa"/>
          </w:tcPr>
          <w:p w14:paraId="39F3264E" w14:textId="77777777" w:rsidR="00656FCE" w:rsidRPr="002D3AB1" w:rsidRDefault="00656FCE" w:rsidP="00DD14B8">
            <w:pPr>
              <w:rPr>
                <w:rFonts w:ascii="Arial" w:hAnsi="Arial" w:cs="Arial"/>
                <w:lang w:val="en-US"/>
              </w:rPr>
            </w:pPr>
          </w:p>
        </w:tc>
        <w:tc>
          <w:tcPr>
            <w:tcW w:w="2254" w:type="dxa"/>
          </w:tcPr>
          <w:p w14:paraId="40113FAC" w14:textId="77777777" w:rsidR="00656FCE" w:rsidRPr="002D3AB1" w:rsidRDefault="00656FCE" w:rsidP="00DD14B8">
            <w:pPr>
              <w:rPr>
                <w:rFonts w:ascii="Arial" w:hAnsi="Arial" w:cs="Arial"/>
                <w:lang w:val="en-US"/>
              </w:rPr>
            </w:pPr>
          </w:p>
        </w:tc>
      </w:tr>
      <w:tr w:rsidR="00656FCE" w:rsidRPr="002D3AB1" w14:paraId="7FA16289" w14:textId="77777777" w:rsidTr="242237F1">
        <w:tc>
          <w:tcPr>
            <w:tcW w:w="988" w:type="dxa"/>
          </w:tcPr>
          <w:p w14:paraId="402DBEF6" w14:textId="77777777" w:rsidR="00656FCE" w:rsidRPr="002D3AB1" w:rsidRDefault="00656FCE" w:rsidP="00DD14B8">
            <w:pPr>
              <w:rPr>
                <w:rFonts w:ascii="Arial" w:hAnsi="Arial" w:cs="Arial"/>
                <w:lang w:val="en-US"/>
              </w:rPr>
            </w:pPr>
          </w:p>
        </w:tc>
        <w:tc>
          <w:tcPr>
            <w:tcW w:w="4677" w:type="dxa"/>
          </w:tcPr>
          <w:p w14:paraId="3603AA53" w14:textId="77777777" w:rsidR="00656FCE" w:rsidRPr="002D3AB1" w:rsidRDefault="00656FCE" w:rsidP="00DD14B8">
            <w:pPr>
              <w:rPr>
                <w:rFonts w:ascii="Arial" w:hAnsi="Arial" w:cs="Arial"/>
                <w:lang w:val="en-US"/>
              </w:rPr>
            </w:pPr>
          </w:p>
        </w:tc>
        <w:tc>
          <w:tcPr>
            <w:tcW w:w="1097" w:type="dxa"/>
          </w:tcPr>
          <w:p w14:paraId="45AA0C84" w14:textId="77777777" w:rsidR="00656FCE" w:rsidRPr="002D3AB1" w:rsidRDefault="00656FCE" w:rsidP="00DD14B8">
            <w:pPr>
              <w:rPr>
                <w:rFonts w:ascii="Arial" w:hAnsi="Arial" w:cs="Arial"/>
                <w:lang w:val="en-US"/>
              </w:rPr>
            </w:pPr>
          </w:p>
        </w:tc>
        <w:tc>
          <w:tcPr>
            <w:tcW w:w="2254" w:type="dxa"/>
          </w:tcPr>
          <w:p w14:paraId="27AF000B" w14:textId="77777777" w:rsidR="00656FCE" w:rsidRPr="002D3AB1" w:rsidRDefault="00656FCE" w:rsidP="00DD14B8">
            <w:pPr>
              <w:rPr>
                <w:rFonts w:ascii="Arial" w:hAnsi="Arial" w:cs="Arial"/>
                <w:lang w:val="en-US"/>
              </w:rPr>
            </w:pPr>
          </w:p>
        </w:tc>
      </w:tr>
      <w:tr w:rsidR="00656FCE" w:rsidRPr="002D3AB1" w14:paraId="3696FFCC" w14:textId="77777777" w:rsidTr="242237F1">
        <w:tc>
          <w:tcPr>
            <w:tcW w:w="988" w:type="dxa"/>
          </w:tcPr>
          <w:p w14:paraId="6D4E18FA" w14:textId="77777777" w:rsidR="00656FCE" w:rsidRPr="002D3AB1" w:rsidRDefault="00656FCE" w:rsidP="00DD14B8">
            <w:pPr>
              <w:rPr>
                <w:rFonts w:ascii="Arial" w:hAnsi="Arial" w:cs="Arial"/>
                <w:lang w:val="en-US"/>
              </w:rPr>
            </w:pPr>
          </w:p>
        </w:tc>
        <w:tc>
          <w:tcPr>
            <w:tcW w:w="4677" w:type="dxa"/>
          </w:tcPr>
          <w:p w14:paraId="68212EB9" w14:textId="77777777" w:rsidR="00656FCE" w:rsidRPr="002D3AB1" w:rsidRDefault="00656FCE" w:rsidP="00DD14B8">
            <w:pPr>
              <w:rPr>
                <w:rFonts w:ascii="Arial" w:hAnsi="Arial" w:cs="Arial"/>
                <w:lang w:val="en-US"/>
              </w:rPr>
            </w:pPr>
          </w:p>
        </w:tc>
        <w:tc>
          <w:tcPr>
            <w:tcW w:w="1097" w:type="dxa"/>
          </w:tcPr>
          <w:p w14:paraId="5C0A4B71" w14:textId="77777777" w:rsidR="00656FCE" w:rsidRPr="002D3AB1" w:rsidRDefault="00656FCE" w:rsidP="00DD14B8">
            <w:pPr>
              <w:rPr>
                <w:rFonts w:ascii="Arial" w:hAnsi="Arial" w:cs="Arial"/>
                <w:lang w:val="en-US"/>
              </w:rPr>
            </w:pPr>
          </w:p>
        </w:tc>
        <w:tc>
          <w:tcPr>
            <w:tcW w:w="2254" w:type="dxa"/>
          </w:tcPr>
          <w:p w14:paraId="11FD1EE5" w14:textId="77777777" w:rsidR="00656FCE" w:rsidRPr="002D3AB1" w:rsidRDefault="00656FCE" w:rsidP="00DD14B8">
            <w:pPr>
              <w:rPr>
                <w:rFonts w:ascii="Arial" w:hAnsi="Arial" w:cs="Arial"/>
                <w:lang w:val="en-US"/>
              </w:rPr>
            </w:pPr>
          </w:p>
        </w:tc>
      </w:tr>
      <w:tr w:rsidR="00656FCE" w:rsidRPr="002D3AB1" w14:paraId="67487CED" w14:textId="77777777" w:rsidTr="242237F1">
        <w:tc>
          <w:tcPr>
            <w:tcW w:w="988" w:type="dxa"/>
          </w:tcPr>
          <w:p w14:paraId="59E00F52" w14:textId="77777777" w:rsidR="00656FCE" w:rsidRPr="002D3AB1" w:rsidRDefault="00656FCE" w:rsidP="00DD14B8">
            <w:pPr>
              <w:rPr>
                <w:rFonts w:ascii="Arial" w:hAnsi="Arial" w:cs="Arial"/>
                <w:lang w:val="en-US"/>
              </w:rPr>
            </w:pPr>
          </w:p>
        </w:tc>
        <w:tc>
          <w:tcPr>
            <w:tcW w:w="4677" w:type="dxa"/>
          </w:tcPr>
          <w:p w14:paraId="03B8B14E" w14:textId="77777777" w:rsidR="00656FCE" w:rsidRPr="002D3AB1" w:rsidRDefault="00656FCE" w:rsidP="00DD14B8">
            <w:pPr>
              <w:rPr>
                <w:rFonts w:ascii="Arial" w:hAnsi="Arial" w:cs="Arial"/>
                <w:lang w:val="en-US"/>
              </w:rPr>
            </w:pPr>
          </w:p>
        </w:tc>
        <w:tc>
          <w:tcPr>
            <w:tcW w:w="1097" w:type="dxa"/>
          </w:tcPr>
          <w:p w14:paraId="5F76C21E" w14:textId="77777777" w:rsidR="00656FCE" w:rsidRPr="002D3AB1" w:rsidRDefault="00656FCE" w:rsidP="00DD14B8">
            <w:pPr>
              <w:rPr>
                <w:rFonts w:ascii="Arial" w:hAnsi="Arial" w:cs="Arial"/>
                <w:lang w:val="en-US"/>
              </w:rPr>
            </w:pPr>
          </w:p>
        </w:tc>
        <w:tc>
          <w:tcPr>
            <w:tcW w:w="2254" w:type="dxa"/>
          </w:tcPr>
          <w:p w14:paraId="6A01EF5C" w14:textId="77777777" w:rsidR="00656FCE" w:rsidRPr="002D3AB1" w:rsidRDefault="00656FCE" w:rsidP="00DD14B8">
            <w:pPr>
              <w:rPr>
                <w:rFonts w:ascii="Arial" w:hAnsi="Arial" w:cs="Arial"/>
                <w:lang w:val="en-US"/>
              </w:rPr>
            </w:pPr>
          </w:p>
        </w:tc>
      </w:tr>
      <w:tr w:rsidR="00656FCE" w:rsidRPr="002D3AB1" w14:paraId="4261E7B5" w14:textId="77777777" w:rsidTr="242237F1">
        <w:tc>
          <w:tcPr>
            <w:tcW w:w="988" w:type="dxa"/>
          </w:tcPr>
          <w:p w14:paraId="62ED8E80" w14:textId="77777777" w:rsidR="00656FCE" w:rsidRPr="002D3AB1" w:rsidRDefault="00656FCE" w:rsidP="00DD14B8">
            <w:pPr>
              <w:rPr>
                <w:rFonts w:ascii="Arial" w:hAnsi="Arial" w:cs="Arial"/>
                <w:lang w:val="en-US"/>
              </w:rPr>
            </w:pPr>
          </w:p>
        </w:tc>
        <w:tc>
          <w:tcPr>
            <w:tcW w:w="4677" w:type="dxa"/>
          </w:tcPr>
          <w:p w14:paraId="4E80AEBF" w14:textId="77777777" w:rsidR="00656FCE" w:rsidRPr="002D3AB1" w:rsidRDefault="00656FCE" w:rsidP="00DD14B8">
            <w:pPr>
              <w:rPr>
                <w:rFonts w:ascii="Arial" w:hAnsi="Arial" w:cs="Arial"/>
                <w:lang w:val="en-US"/>
              </w:rPr>
            </w:pPr>
          </w:p>
        </w:tc>
        <w:tc>
          <w:tcPr>
            <w:tcW w:w="1097" w:type="dxa"/>
          </w:tcPr>
          <w:p w14:paraId="39BCC4F5" w14:textId="77777777" w:rsidR="00656FCE" w:rsidRPr="002D3AB1" w:rsidRDefault="00656FCE" w:rsidP="00DD14B8">
            <w:pPr>
              <w:rPr>
                <w:rFonts w:ascii="Arial" w:hAnsi="Arial" w:cs="Arial"/>
                <w:lang w:val="en-US"/>
              </w:rPr>
            </w:pPr>
          </w:p>
        </w:tc>
        <w:tc>
          <w:tcPr>
            <w:tcW w:w="2254" w:type="dxa"/>
          </w:tcPr>
          <w:p w14:paraId="19DCB03E" w14:textId="77777777" w:rsidR="00656FCE" w:rsidRPr="002D3AB1" w:rsidRDefault="00656FCE" w:rsidP="00DD14B8">
            <w:pPr>
              <w:rPr>
                <w:rFonts w:ascii="Arial" w:hAnsi="Arial" w:cs="Arial"/>
                <w:lang w:val="en-US"/>
              </w:rPr>
            </w:pPr>
          </w:p>
        </w:tc>
      </w:tr>
    </w:tbl>
    <w:p w14:paraId="09E38658" w14:textId="3214D06B" w:rsidR="00DB73F1" w:rsidRPr="002D3AB1" w:rsidRDefault="00DB73F1" w:rsidP="00DD14B8">
      <w:pPr>
        <w:rPr>
          <w:rFonts w:ascii="Arial" w:hAnsi="Arial" w:cs="Arial"/>
          <w:lang w:val="en-US"/>
        </w:rPr>
      </w:pPr>
    </w:p>
    <w:p w14:paraId="6D7A145E" w14:textId="1F4D6DEC" w:rsidR="00235E64" w:rsidRPr="002D3AB1" w:rsidRDefault="00235E64" w:rsidP="00DD14B8">
      <w:pPr>
        <w:rPr>
          <w:rFonts w:ascii="Arial" w:hAnsi="Arial" w:cs="Arial"/>
          <w:lang w:val="en-US"/>
        </w:rPr>
      </w:pPr>
      <w:r w:rsidRPr="002D3AB1">
        <w:rPr>
          <w:rFonts w:ascii="Arial" w:hAnsi="Arial" w:cs="Arial"/>
          <w:lang w:val="en-US"/>
        </w:rPr>
        <w:br w:type="page"/>
      </w:r>
    </w:p>
    <w:p w14:paraId="787EC6AE" w14:textId="002A4F64" w:rsidR="008D580D" w:rsidRPr="00191C66" w:rsidRDefault="00235E64" w:rsidP="00191C66">
      <w:pPr>
        <w:pStyle w:val="Heading1"/>
      </w:pPr>
      <w:bookmarkStart w:id="3" w:name="_Toc83021340"/>
      <w:r w:rsidRPr="00191C66">
        <w:lastRenderedPageBreak/>
        <w:t xml:space="preserve">Process </w:t>
      </w:r>
      <w:r w:rsidR="00437E29">
        <w:t>s</w:t>
      </w:r>
      <w:r w:rsidRPr="00191C66">
        <w:t>tatement</w:t>
      </w:r>
      <w:bookmarkEnd w:id="3"/>
      <w:r w:rsidRPr="00191C66">
        <w:t xml:space="preserve"> </w:t>
      </w:r>
    </w:p>
    <w:p w14:paraId="39A90093" w14:textId="5F52968E" w:rsidR="00F8367C" w:rsidRPr="002D3AB1" w:rsidRDefault="00F8367C" w:rsidP="00F8367C">
      <w:pPr>
        <w:rPr>
          <w:lang w:val="en-US"/>
        </w:rPr>
      </w:pPr>
      <w:r w:rsidRPr="6885A24E">
        <w:rPr>
          <w:lang w:val="en-US"/>
        </w:rPr>
        <w:t>E-waste stock can arise from both in-warranty and out-of-warranty returns, end-of-life component parts, and defective/</w:t>
      </w:r>
      <w:proofErr w:type="spellStart"/>
      <w:r w:rsidRPr="6885A24E">
        <w:rPr>
          <w:lang w:val="en-US"/>
        </w:rPr>
        <w:t>canibalised</w:t>
      </w:r>
      <w:proofErr w:type="spellEnd"/>
      <w:r w:rsidRPr="6885A24E">
        <w:rPr>
          <w:lang w:val="en-US"/>
        </w:rPr>
        <w:t xml:space="preserve"> stock. </w:t>
      </w:r>
    </w:p>
    <w:p w14:paraId="41A5C7E4" w14:textId="432CBCB1" w:rsidR="00235E64" w:rsidRPr="002D3AB1" w:rsidRDefault="00235E64" w:rsidP="00F8367C">
      <w:pPr>
        <w:rPr>
          <w:lang w:val="en-US"/>
        </w:rPr>
      </w:pPr>
      <w:r w:rsidRPr="242237F1">
        <w:rPr>
          <w:lang w:val="en-US"/>
        </w:rPr>
        <w:t xml:space="preserve">This standard operating procedure </w:t>
      </w:r>
      <w:r w:rsidR="00D910DD" w:rsidRPr="242237F1">
        <w:rPr>
          <w:lang w:val="en-US"/>
        </w:rPr>
        <w:t xml:space="preserve">(SOP) </w:t>
      </w:r>
      <w:r w:rsidR="005E568E" w:rsidRPr="242237F1">
        <w:rPr>
          <w:lang w:val="en-US"/>
        </w:rPr>
        <w:t xml:space="preserve">defines the </w:t>
      </w:r>
      <w:r w:rsidR="00191C66">
        <w:rPr>
          <w:lang w:val="en-US"/>
        </w:rPr>
        <w:t>procedure for</w:t>
      </w:r>
      <w:r w:rsidR="005E568E" w:rsidRPr="242237F1">
        <w:rPr>
          <w:lang w:val="en-US"/>
        </w:rPr>
        <w:t xml:space="preserve"> e-waste management </w:t>
      </w:r>
      <w:r w:rsidR="00F8367C">
        <w:rPr>
          <w:lang w:val="en-US"/>
        </w:rPr>
        <w:t>within</w:t>
      </w:r>
      <w:r w:rsidR="005E568E" w:rsidRPr="242237F1">
        <w:rPr>
          <w:lang w:val="en-US"/>
        </w:rPr>
        <w:t xml:space="preserve"> </w:t>
      </w:r>
      <w:r w:rsidR="0033099B" w:rsidRPr="242237F1">
        <w:rPr>
          <w:lang w:val="en-US"/>
        </w:rPr>
        <w:t>[</w:t>
      </w:r>
      <w:r w:rsidR="0033099B" w:rsidRPr="242237F1">
        <w:rPr>
          <w:highlight w:val="yellow"/>
          <w:lang w:val="en-US"/>
        </w:rPr>
        <w:t>insert company name</w:t>
      </w:r>
      <w:r w:rsidR="0033099B" w:rsidRPr="242237F1">
        <w:rPr>
          <w:lang w:val="en-US"/>
        </w:rPr>
        <w:t>]</w:t>
      </w:r>
      <w:r w:rsidR="000A42A4" w:rsidRPr="242237F1">
        <w:rPr>
          <w:lang w:val="en-US"/>
        </w:rPr>
        <w:t xml:space="preserve"> [</w:t>
      </w:r>
      <w:r w:rsidR="000A42A4" w:rsidRPr="242237F1">
        <w:rPr>
          <w:highlight w:val="yellow"/>
          <w:lang w:val="en-US"/>
        </w:rPr>
        <w:t>insert country</w:t>
      </w:r>
      <w:r w:rsidR="000A42A4" w:rsidRPr="242237F1">
        <w:rPr>
          <w:lang w:val="en-US"/>
        </w:rPr>
        <w:t>]</w:t>
      </w:r>
      <w:r w:rsidR="0033099B" w:rsidRPr="242237F1">
        <w:rPr>
          <w:lang w:val="en-US"/>
        </w:rPr>
        <w:t>, where</w:t>
      </w:r>
      <w:r w:rsidR="003E5141" w:rsidRPr="242237F1">
        <w:rPr>
          <w:lang w:val="en-US"/>
        </w:rPr>
        <w:t xml:space="preserve">in products that are non-functioning </w:t>
      </w:r>
      <w:r w:rsidR="4E825F76" w:rsidRPr="242237F1">
        <w:rPr>
          <w:lang w:val="en-US"/>
        </w:rPr>
        <w:t xml:space="preserve">and/or end-of-life </w:t>
      </w:r>
      <w:r w:rsidR="00F06DC4" w:rsidRPr="242237F1">
        <w:rPr>
          <w:lang w:val="en-US"/>
        </w:rPr>
        <w:t>must</w:t>
      </w:r>
      <w:r w:rsidR="00A408B4" w:rsidRPr="242237F1">
        <w:rPr>
          <w:lang w:val="en-US"/>
        </w:rPr>
        <w:t xml:space="preserve"> follow a predefined process</w:t>
      </w:r>
      <w:r w:rsidR="006278E4" w:rsidRPr="242237F1">
        <w:rPr>
          <w:lang w:val="en-US"/>
        </w:rPr>
        <w:t xml:space="preserve"> </w:t>
      </w:r>
      <w:r w:rsidR="00F8367C">
        <w:rPr>
          <w:lang w:val="en-US"/>
        </w:rPr>
        <w:t>according to</w:t>
      </w:r>
      <w:r w:rsidR="006278E4" w:rsidRPr="242237F1">
        <w:rPr>
          <w:lang w:val="en-US"/>
        </w:rPr>
        <w:t xml:space="preserve"> [</w:t>
      </w:r>
      <w:r w:rsidR="006278E4" w:rsidRPr="242237F1">
        <w:rPr>
          <w:highlight w:val="yellow"/>
          <w:lang w:val="en-US"/>
        </w:rPr>
        <w:t>insert company’s e-waste global policy</w:t>
      </w:r>
      <w:r w:rsidR="006278E4" w:rsidRPr="242237F1">
        <w:rPr>
          <w:lang w:val="en-US"/>
        </w:rPr>
        <w:t>]</w:t>
      </w:r>
      <w:r w:rsidR="2419A70A" w:rsidRPr="242237F1">
        <w:rPr>
          <w:lang w:val="en-US"/>
        </w:rPr>
        <w:t xml:space="preserve"> or</w:t>
      </w:r>
      <w:r w:rsidR="00191C66">
        <w:rPr>
          <w:lang w:val="en-US"/>
        </w:rPr>
        <w:t xml:space="preserve"> </w:t>
      </w:r>
      <w:r w:rsidR="2419A70A" w:rsidRPr="242237F1">
        <w:rPr>
          <w:lang w:val="en-US"/>
        </w:rPr>
        <w:t>legal requirements where applicable,</w:t>
      </w:r>
      <w:r w:rsidR="006278E4" w:rsidRPr="242237F1">
        <w:rPr>
          <w:lang w:val="en-US"/>
        </w:rPr>
        <w:t xml:space="preserve"> wh</w:t>
      </w:r>
      <w:r w:rsidR="00C17C80" w:rsidRPr="242237F1">
        <w:rPr>
          <w:lang w:val="en-US"/>
        </w:rPr>
        <w:t>ichever is more stringent</w:t>
      </w:r>
      <w:r w:rsidR="00A408B4" w:rsidRPr="242237F1">
        <w:rPr>
          <w:lang w:val="en-US"/>
        </w:rPr>
        <w:t xml:space="preserve">. </w:t>
      </w:r>
    </w:p>
    <w:p w14:paraId="67799DCB" w14:textId="28107321" w:rsidR="00B92823" w:rsidRPr="00191C66" w:rsidRDefault="00B92823" w:rsidP="00191C66">
      <w:pPr>
        <w:pStyle w:val="Heading1"/>
      </w:pPr>
      <w:bookmarkStart w:id="4" w:name="_Toc83021341"/>
      <w:r w:rsidRPr="00191C66">
        <w:t>Scope</w:t>
      </w:r>
      <w:bookmarkEnd w:id="4"/>
    </w:p>
    <w:p w14:paraId="54A22EA8" w14:textId="1EA01153" w:rsidR="004B490D" w:rsidRPr="002D3AB1" w:rsidRDefault="00B92823" w:rsidP="00F8367C">
      <w:pPr>
        <w:rPr>
          <w:lang w:val="en-US"/>
        </w:rPr>
      </w:pPr>
      <w:r w:rsidRPr="6885A24E">
        <w:rPr>
          <w:lang w:val="en-US"/>
        </w:rPr>
        <w:t>Th</w:t>
      </w:r>
      <w:r w:rsidR="00A408B4" w:rsidRPr="6885A24E">
        <w:rPr>
          <w:lang w:val="en-US"/>
        </w:rPr>
        <w:t>is</w:t>
      </w:r>
      <w:r w:rsidR="0062778B" w:rsidRPr="6885A24E">
        <w:rPr>
          <w:lang w:val="en-US"/>
        </w:rPr>
        <w:t xml:space="preserve"> </w:t>
      </w:r>
      <w:r w:rsidR="00AF453A" w:rsidRPr="6885A24E">
        <w:rPr>
          <w:lang w:val="en-US"/>
        </w:rPr>
        <w:t>SOP</w:t>
      </w:r>
      <w:r w:rsidR="0062778B" w:rsidRPr="6885A24E">
        <w:rPr>
          <w:lang w:val="en-US"/>
        </w:rPr>
        <w:t xml:space="preserve"> is </w:t>
      </w:r>
      <w:r w:rsidR="00542867" w:rsidRPr="6885A24E">
        <w:rPr>
          <w:lang w:val="en-US"/>
        </w:rPr>
        <w:t xml:space="preserve">an </w:t>
      </w:r>
      <w:r w:rsidR="0062778B" w:rsidRPr="6885A24E">
        <w:rPr>
          <w:lang w:val="en-US"/>
        </w:rPr>
        <w:t>addition to</w:t>
      </w:r>
      <w:r w:rsidR="00F06DC4" w:rsidRPr="6885A24E">
        <w:rPr>
          <w:lang w:val="en-US"/>
        </w:rPr>
        <w:t xml:space="preserve"> the</w:t>
      </w:r>
      <w:r w:rsidR="0062778B" w:rsidRPr="6885A24E">
        <w:rPr>
          <w:lang w:val="en-US"/>
        </w:rPr>
        <w:t xml:space="preserve"> </w:t>
      </w:r>
      <w:r w:rsidR="00542867" w:rsidRPr="6885A24E">
        <w:rPr>
          <w:lang w:val="en-US"/>
        </w:rPr>
        <w:t>[</w:t>
      </w:r>
      <w:r w:rsidR="00542867" w:rsidRPr="6885A24E">
        <w:rPr>
          <w:highlight w:val="yellow"/>
          <w:lang w:val="en-US"/>
        </w:rPr>
        <w:t>insert company’s e-waste global policy</w:t>
      </w:r>
      <w:r w:rsidR="00542867" w:rsidRPr="6885A24E">
        <w:rPr>
          <w:lang w:val="en-US"/>
        </w:rPr>
        <w:t>]</w:t>
      </w:r>
      <w:r w:rsidR="0DAB76CA" w:rsidRPr="6885A24E">
        <w:rPr>
          <w:lang w:val="en-US"/>
        </w:rPr>
        <w:t xml:space="preserve">. The policy states that </w:t>
      </w:r>
      <w:r w:rsidR="0041348F" w:rsidRPr="6885A24E">
        <w:rPr>
          <w:lang w:val="en-US"/>
        </w:rPr>
        <w:t xml:space="preserve">each of </w:t>
      </w:r>
      <w:r w:rsidR="00542867" w:rsidRPr="6885A24E">
        <w:rPr>
          <w:lang w:val="en-US"/>
        </w:rPr>
        <w:t>[</w:t>
      </w:r>
      <w:r w:rsidR="00542867" w:rsidRPr="6885A24E">
        <w:rPr>
          <w:highlight w:val="yellow"/>
          <w:lang w:val="en-US"/>
        </w:rPr>
        <w:t>insert company’s name</w:t>
      </w:r>
      <w:r w:rsidR="00542867" w:rsidRPr="6885A24E">
        <w:rPr>
          <w:lang w:val="en-US"/>
        </w:rPr>
        <w:t>]</w:t>
      </w:r>
      <w:r w:rsidR="00F06DC4" w:rsidRPr="6885A24E">
        <w:rPr>
          <w:lang w:val="en-US"/>
        </w:rPr>
        <w:t>’s</w:t>
      </w:r>
      <w:r w:rsidR="0041348F" w:rsidRPr="6885A24E">
        <w:rPr>
          <w:lang w:val="en-US"/>
        </w:rPr>
        <w:t xml:space="preserve"> operating countries </w:t>
      </w:r>
      <w:r w:rsidR="001F48EF" w:rsidRPr="6885A24E">
        <w:rPr>
          <w:lang w:val="en-US"/>
        </w:rPr>
        <w:t xml:space="preserve">will </w:t>
      </w:r>
      <w:r w:rsidR="006857B6" w:rsidRPr="6885A24E">
        <w:rPr>
          <w:lang w:val="en-US"/>
        </w:rPr>
        <w:t xml:space="preserve">define </w:t>
      </w:r>
      <w:r w:rsidR="00AF453A" w:rsidRPr="6885A24E">
        <w:rPr>
          <w:lang w:val="en-US"/>
        </w:rPr>
        <w:t xml:space="preserve">e-waste </w:t>
      </w:r>
      <w:r w:rsidR="00F8367C">
        <w:rPr>
          <w:lang w:val="en-US"/>
        </w:rPr>
        <w:t>procedures</w:t>
      </w:r>
      <w:r w:rsidR="006857B6" w:rsidRPr="6885A24E">
        <w:rPr>
          <w:lang w:val="en-US"/>
        </w:rPr>
        <w:t xml:space="preserve"> that </w:t>
      </w:r>
      <w:r w:rsidR="0041348F" w:rsidRPr="6885A24E">
        <w:rPr>
          <w:lang w:val="en-US"/>
        </w:rPr>
        <w:t xml:space="preserve">adhere to national or regional </w:t>
      </w:r>
      <w:r w:rsidR="00734AEA" w:rsidRPr="6885A24E">
        <w:rPr>
          <w:lang w:val="en-US"/>
        </w:rPr>
        <w:t>e-waste legislation</w:t>
      </w:r>
      <w:r w:rsidR="006857B6" w:rsidRPr="6885A24E">
        <w:rPr>
          <w:lang w:val="en-US"/>
        </w:rPr>
        <w:t xml:space="preserve"> regarding </w:t>
      </w:r>
      <w:r w:rsidR="004B490D" w:rsidRPr="6885A24E">
        <w:rPr>
          <w:lang w:val="en-US"/>
        </w:rPr>
        <w:t>collection, handling</w:t>
      </w:r>
      <w:r w:rsidR="00F8367C">
        <w:rPr>
          <w:lang w:val="en-US"/>
        </w:rPr>
        <w:t xml:space="preserve">, </w:t>
      </w:r>
      <w:r w:rsidR="00F8367C">
        <w:rPr>
          <w:lang w:val="en-US"/>
        </w:rPr>
        <w:t>t</w:t>
      </w:r>
      <w:r w:rsidR="00F8367C" w:rsidRPr="6885A24E">
        <w:rPr>
          <w:lang w:val="en-US"/>
        </w:rPr>
        <w:t>ransportation</w:t>
      </w:r>
      <w:r w:rsidR="004B490D" w:rsidRPr="6885A24E">
        <w:rPr>
          <w:lang w:val="en-US"/>
        </w:rPr>
        <w:t xml:space="preserve"> and safe disposal of e-waste. </w:t>
      </w:r>
    </w:p>
    <w:p w14:paraId="2E9269AB" w14:textId="1725D17B" w:rsidR="00B92823" w:rsidRPr="002E5728" w:rsidRDefault="004B490D" w:rsidP="00F8367C">
      <w:pPr>
        <w:rPr>
          <w:color w:val="AEAAAA" w:themeColor="background2" w:themeShade="BF"/>
          <w:lang w:val="en-US"/>
        </w:rPr>
      </w:pPr>
      <w:r w:rsidRPr="242237F1">
        <w:rPr>
          <w:lang w:val="en-US"/>
        </w:rPr>
        <w:t xml:space="preserve">This </w:t>
      </w:r>
      <w:r w:rsidR="00D910DD" w:rsidRPr="242237F1">
        <w:rPr>
          <w:lang w:val="en-US"/>
        </w:rPr>
        <w:t>SOP is applicable to all</w:t>
      </w:r>
      <w:r w:rsidR="5E7BBAE3" w:rsidRPr="242237F1">
        <w:rPr>
          <w:lang w:val="en-US"/>
        </w:rPr>
        <w:t xml:space="preserve"> [</w:t>
      </w:r>
      <w:r w:rsidR="5E7BBAE3" w:rsidRPr="001575DB">
        <w:rPr>
          <w:highlight w:val="yellow"/>
          <w:lang w:val="en-US"/>
        </w:rPr>
        <w:t>company name</w:t>
      </w:r>
      <w:r w:rsidR="5E7BBAE3" w:rsidRPr="242237F1">
        <w:rPr>
          <w:lang w:val="en-US"/>
        </w:rPr>
        <w:t xml:space="preserve">] </w:t>
      </w:r>
      <w:r w:rsidR="00D910DD" w:rsidRPr="242237F1">
        <w:rPr>
          <w:lang w:val="en-US"/>
        </w:rPr>
        <w:t xml:space="preserve">products </w:t>
      </w:r>
      <w:r w:rsidR="2EB69FA1" w:rsidRPr="242237F1">
        <w:rPr>
          <w:lang w:val="en-US"/>
        </w:rPr>
        <w:t xml:space="preserve">and component parts </w:t>
      </w:r>
      <w:r w:rsidR="00E73402">
        <w:rPr>
          <w:lang w:val="en-US"/>
        </w:rPr>
        <w:t xml:space="preserve">that are returned by consumers, </w:t>
      </w:r>
      <w:r w:rsidR="00D910DD" w:rsidRPr="242237F1">
        <w:rPr>
          <w:lang w:val="en-US"/>
        </w:rPr>
        <w:t>regardless of their warranty status.</w:t>
      </w:r>
      <w:r w:rsidR="33BE66AF" w:rsidRPr="242237F1">
        <w:rPr>
          <w:lang w:val="en-US"/>
        </w:rPr>
        <w:t xml:space="preserve"> </w:t>
      </w:r>
      <w:r w:rsidR="009F79C1" w:rsidRPr="00E73402">
        <w:rPr>
          <w:highlight w:val="green"/>
          <w:lang w:val="en-US"/>
        </w:rPr>
        <w:t xml:space="preserve">However, </w:t>
      </w:r>
      <w:r w:rsidR="00E73402">
        <w:rPr>
          <w:highlight w:val="green"/>
          <w:lang w:val="en-US"/>
        </w:rPr>
        <w:t>[company]</w:t>
      </w:r>
      <w:r w:rsidR="00D910DD" w:rsidRPr="00E73402">
        <w:rPr>
          <w:highlight w:val="green"/>
          <w:lang w:val="en-US"/>
        </w:rPr>
        <w:t xml:space="preserve"> is</w:t>
      </w:r>
      <w:r w:rsidR="00E73402">
        <w:rPr>
          <w:highlight w:val="green"/>
          <w:lang w:val="en-US"/>
        </w:rPr>
        <w:t xml:space="preserve"> also making</w:t>
      </w:r>
      <w:r w:rsidR="00D910DD" w:rsidRPr="00E73402">
        <w:rPr>
          <w:highlight w:val="green"/>
          <w:lang w:val="en-US"/>
        </w:rPr>
        <w:t xml:space="preserve"> a concerted effort to </w:t>
      </w:r>
      <w:r w:rsidR="00E73402">
        <w:rPr>
          <w:highlight w:val="green"/>
          <w:lang w:val="en-US"/>
        </w:rPr>
        <w:t>recover more</w:t>
      </w:r>
      <w:r w:rsidR="00D910DD" w:rsidRPr="00E73402">
        <w:rPr>
          <w:highlight w:val="green"/>
          <w:lang w:val="en-US"/>
        </w:rPr>
        <w:t xml:space="preserve"> </w:t>
      </w:r>
      <w:r w:rsidR="00D31A52" w:rsidRPr="00E73402">
        <w:rPr>
          <w:highlight w:val="green"/>
          <w:lang w:val="en-US"/>
        </w:rPr>
        <w:t xml:space="preserve">non-functioning, </w:t>
      </w:r>
      <w:r w:rsidR="00D910DD" w:rsidRPr="00E73402">
        <w:rPr>
          <w:highlight w:val="green"/>
          <w:lang w:val="en-US"/>
        </w:rPr>
        <w:t>out-of-warranty products</w:t>
      </w:r>
      <w:r w:rsidR="00FD5F8E" w:rsidRPr="00E73402">
        <w:rPr>
          <w:highlight w:val="green"/>
          <w:lang w:val="en-US"/>
        </w:rPr>
        <w:t xml:space="preserve"> </w:t>
      </w:r>
      <w:r w:rsidR="69C381A3" w:rsidRPr="00E73402">
        <w:rPr>
          <w:highlight w:val="green"/>
          <w:lang w:val="en-US"/>
        </w:rPr>
        <w:t>in line with the principles of</w:t>
      </w:r>
      <w:r w:rsidR="00FD5F8E" w:rsidRPr="00E73402">
        <w:rPr>
          <w:highlight w:val="green"/>
          <w:lang w:val="en-US"/>
        </w:rPr>
        <w:t xml:space="preserve"> extended producer responsibility </w:t>
      </w:r>
      <w:r w:rsidR="29D86365" w:rsidRPr="00E73402">
        <w:rPr>
          <w:highlight w:val="green"/>
          <w:lang w:val="en-US"/>
        </w:rPr>
        <w:t>(EPR)</w:t>
      </w:r>
      <w:r w:rsidR="00ED6BC1" w:rsidRPr="242237F1">
        <w:rPr>
          <w:lang w:val="en-US"/>
        </w:rPr>
        <w:t xml:space="preserve">. </w:t>
      </w:r>
    </w:p>
    <w:p w14:paraId="231B75A0" w14:textId="5F8E4132" w:rsidR="00B92823" w:rsidRPr="002D3AB1" w:rsidRDefault="00B92823" w:rsidP="00F8367C">
      <w:pPr>
        <w:pStyle w:val="Heading1"/>
        <w:rPr>
          <w:lang w:val="en-US"/>
        </w:rPr>
      </w:pPr>
      <w:bookmarkStart w:id="5" w:name="_Toc83021342"/>
      <w:r w:rsidRPr="00F8367C">
        <w:t>Legal</w:t>
      </w:r>
      <w:r w:rsidRPr="002D3AB1">
        <w:rPr>
          <w:lang w:val="en-US"/>
        </w:rPr>
        <w:t xml:space="preserve"> </w:t>
      </w:r>
      <w:r w:rsidR="00437E29">
        <w:rPr>
          <w:lang w:val="en-US"/>
        </w:rPr>
        <w:t>f</w:t>
      </w:r>
      <w:r w:rsidRPr="002D3AB1">
        <w:rPr>
          <w:lang w:val="en-US"/>
        </w:rPr>
        <w:t>ramework</w:t>
      </w:r>
      <w:bookmarkEnd w:id="5"/>
      <w:r w:rsidRPr="002D3AB1">
        <w:rPr>
          <w:lang w:val="en-US"/>
        </w:rPr>
        <w:t xml:space="preserve"> </w:t>
      </w:r>
    </w:p>
    <w:p w14:paraId="5D21122C" w14:textId="1C2FE0C6" w:rsidR="00DE2551" w:rsidRDefault="71ED0BDC" w:rsidP="00F8367C">
      <w:pPr>
        <w:rPr>
          <w:lang w:val="en-US"/>
        </w:rPr>
      </w:pPr>
      <w:r w:rsidRPr="3C83F8CC">
        <w:rPr>
          <w:lang w:val="en-US"/>
        </w:rPr>
        <w:t>E-</w:t>
      </w:r>
      <w:r w:rsidR="6A9EF9C6" w:rsidRPr="3C83F8CC">
        <w:rPr>
          <w:lang w:val="en-US"/>
        </w:rPr>
        <w:t>w</w:t>
      </w:r>
      <w:r w:rsidRPr="3C83F8CC">
        <w:rPr>
          <w:lang w:val="en-US"/>
        </w:rPr>
        <w:t xml:space="preserve">aste legislation varies </w:t>
      </w:r>
      <w:r w:rsidR="001822FD">
        <w:rPr>
          <w:lang w:val="en-US"/>
        </w:rPr>
        <w:t>from country to country</w:t>
      </w:r>
      <w:r w:rsidR="00A96AF0" w:rsidRPr="3C83F8CC">
        <w:rPr>
          <w:lang w:val="en-US"/>
        </w:rPr>
        <w:t xml:space="preserve">, which impacts </w:t>
      </w:r>
      <w:r w:rsidR="001822FD">
        <w:rPr>
          <w:lang w:val="en-US"/>
        </w:rPr>
        <w:t>our market-level</w:t>
      </w:r>
      <w:r w:rsidR="5DFEB91F" w:rsidRPr="3C83F8CC">
        <w:rPr>
          <w:lang w:val="en-US"/>
        </w:rPr>
        <w:t xml:space="preserve"> </w:t>
      </w:r>
      <w:r w:rsidR="00A96AF0" w:rsidRPr="3C83F8CC">
        <w:rPr>
          <w:lang w:val="en-US"/>
        </w:rPr>
        <w:t xml:space="preserve">e-waste </w:t>
      </w:r>
      <w:r w:rsidR="001822FD">
        <w:rPr>
          <w:lang w:val="en-US"/>
        </w:rPr>
        <w:t xml:space="preserve">management </w:t>
      </w:r>
      <w:r w:rsidR="00A96AF0" w:rsidRPr="3C83F8CC">
        <w:rPr>
          <w:lang w:val="en-US"/>
        </w:rPr>
        <w:t>flows</w:t>
      </w:r>
      <w:r w:rsidRPr="3C83F8CC">
        <w:rPr>
          <w:lang w:val="en-US"/>
        </w:rPr>
        <w:t xml:space="preserve">. </w:t>
      </w:r>
      <w:r w:rsidR="001822FD">
        <w:rPr>
          <w:lang w:val="en-US"/>
        </w:rPr>
        <w:t xml:space="preserve">Therefore, the SOP defined in this document may </w:t>
      </w:r>
      <w:r w:rsidR="001F3925" w:rsidRPr="6885A24E">
        <w:rPr>
          <w:lang w:val="en-US"/>
        </w:rPr>
        <w:t xml:space="preserve">vary from the </w:t>
      </w:r>
      <w:r w:rsidR="1DA7A8D2" w:rsidRPr="6885A24E">
        <w:rPr>
          <w:lang w:val="en-US"/>
        </w:rPr>
        <w:t xml:space="preserve">baseline </w:t>
      </w:r>
      <w:r w:rsidR="001F3925" w:rsidRPr="6885A24E">
        <w:rPr>
          <w:lang w:val="en-US"/>
        </w:rPr>
        <w:t xml:space="preserve">e-waste management </w:t>
      </w:r>
      <w:r w:rsidR="001822FD">
        <w:rPr>
          <w:lang w:val="en-US"/>
        </w:rPr>
        <w:t>process</w:t>
      </w:r>
      <w:r w:rsidR="001F3925" w:rsidRPr="6885A24E">
        <w:rPr>
          <w:lang w:val="en-US"/>
        </w:rPr>
        <w:t xml:space="preserve"> defined in [</w:t>
      </w:r>
      <w:r w:rsidR="001F3925" w:rsidRPr="6885A24E">
        <w:rPr>
          <w:highlight w:val="yellow"/>
          <w:lang w:val="en-US"/>
        </w:rPr>
        <w:t>insert company’s e-waste global policy</w:t>
      </w:r>
      <w:r w:rsidR="001F3925" w:rsidRPr="6885A24E">
        <w:rPr>
          <w:lang w:val="en-US"/>
        </w:rPr>
        <w:t>].</w:t>
      </w:r>
      <w:r w:rsidR="00EC4751" w:rsidRPr="6885A24E">
        <w:rPr>
          <w:lang w:val="en-US"/>
        </w:rPr>
        <w:t xml:space="preserve"> </w:t>
      </w:r>
    </w:p>
    <w:p w14:paraId="46C75B38" w14:textId="77777777" w:rsidR="001822FD" w:rsidRDefault="007D3471" w:rsidP="00F8367C">
      <w:pPr>
        <w:rPr>
          <w:lang w:val="en-US"/>
        </w:rPr>
      </w:pPr>
      <w:r>
        <w:rPr>
          <w:lang w:val="en-US"/>
        </w:rPr>
        <w:t>In addition to</w:t>
      </w:r>
      <w:r w:rsidR="00FB5EF3">
        <w:rPr>
          <w:lang w:val="en-US"/>
        </w:rPr>
        <w:t xml:space="preserve"> the </w:t>
      </w:r>
      <w:r>
        <w:rPr>
          <w:lang w:val="en-US"/>
        </w:rPr>
        <w:t xml:space="preserve">Basel </w:t>
      </w:r>
      <w:r w:rsidRPr="001822FD">
        <w:rPr>
          <w:highlight w:val="magenta"/>
          <w:lang w:val="en-US"/>
        </w:rPr>
        <w:t>and B</w:t>
      </w:r>
      <w:r w:rsidRPr="007D3471">
        <w:rPr>
          <w:highlight w:val="magenta"/>
          <w:lang w:val="en-US"/>
        </w:rPr>
        <w:t>amako</w:t>
      </w:r>
      <w:r w:rsidR="00FB5EF3">
        <w:rPr>
          <w:lang w:val="en-US"/>
        </w:rPr>
        <w:t xml:space="preserve"> conventions</w:t>
      </w:r>
      <w:r>
        <w:rPr>
          <w:lang w:val="en-US"/>
        </w:rPr>
        <w:t>, there are national policies that affect th</w:t>
      </w:r>
      <w:r w:rsidR="001822FD">
        <w:rPr>
          <w:lang w:val="en-US"/>
        </w:rPr>
        <w:t>is</w:t>
      </w:r>
      <w:r>
        <w:rPr>
          <w:lang w:val="en-US"/>
        </w:rPr>
        <w:t xml:space="preserve"> </w:t>
      </w:r>
      <w:r w:rsidR="001B7F8D">
        <w:rPr>
          <w:lang w:val="en-US"/>
        </w:rPr>
        <w:t xml:space="preserve">SOP. </w:t>
      </w:r>
      <w:r w:rsidR="001822FD">
        <w:rPr>
          <w:lang w:val="en-US"/>
        </w:rPr>
        <w:t>The e-waste legislations that impact on [</w:t>
      </w:r>
      <w:r w:rsidR="001822FD" w:rsidRPr="00A1069B">
        <w:rPr>
          <w:highlight w:val="yellow"/>
          <w:lang w:val="en-US"/>
        </w:rPr>
        <w:t>country name</w:t>
      </w:r>
      <w:r w:rsidR="001822FD">
        <w:rPr>
          <w:lang w:val="en-US"/>
        </w:rPr>
        <w:t>] are:</w:t>
      </w:r>
    </w:p>
    <w:p w14:paraId="4C6C8301" w14:textId="0FB999BF" w:rsidR="00FB5EF3" w:rsidRDefault="001822FD" w:rsidP="001822FD">
      <w:pPr>
        <w:pStyle w:val="ListParagraph"/>
        <w:numPr>
          <w:ilvl w:val="0"/>
          <w:numId w:val="4"/>
        </w:numPr>
        <w:rPr>
          <w:lang w:val="en-US"/>
        </w:rPr>
      </w:pPr>
      <w:r>
        <w:rPr>
          <w:lang w:val="en-US"/>
        </w:rPr>
        <w:t>[</w:t>
      </w:r>
      <w:r w:rsidRPr="001822FD">
        <w:rPr>
          <w:highlight w:val="yellow"/>
          <w:lang w:val="en-US"/>
        </w:rPr>
        <w:t>list regulations that are relevant to the country of operations</w:t>
      </w:r>
      <w:r w:rsidR="001575DB">
        <w:rPr>
          <w:lang w:val="en-US"/>
        </w:rPr>
        <w:t xml:space="preserve">. </w:t>
      </w:r>
    </w:p>
    <w:p w14:paraId="1B99A734" w14:textId="73CED9A1" w:rsidR="001822FD" w:rsidRDefault="001822FD" w:rsidP="001822FD">
      <w:pPr>
        <w:pStyle w:val="ListParagraph"/>
        <w:ind w:left="780"/>
        <w:rPr>
          <w:i/>
          <w:iCs/>
          <w:color w:val="0070C0"/>
          <w:lang w:val="en-US"/>
        </w:rPr>
      </w:pPr>
      <w:r w:rsidRPr="001822FD">
        <w:rPr>
          <w:i/>
          <w:iCs/>
          <w:color w:val="0070C0"/>
          <w:lang w:val="en-US"/>
        </w:rPr>
        <w:t xml:space="preserve">For information, see </w:t>
      </w:r>
      <w:r w:rsidRPr="001822FD">
        <w:rPr>
          <w:i/>
          <w:iCs/>
          <w:color w:val="0070C0"/>
          <w:lang w:val="en-US"/>
        </w:rPr>
        <w:t xml:space="preserve">GSMA’s </w:t>
      </w:r>
      <w:hyperlink r:id="rId11" w:history="1">
        <w:r w:rsidRPr="001822FD">
          <w:rPr>
            <w:rStyle w:val="Hyperlink"/>
            <w:rFonts w:cs="Arial"/>
            <w:i/>
            <w:iCs/>
            <w:color w:val="0070C0"/>
            <w:lang w:val="en-US"/>
          </w:rPr>
          <w:t>E-waste Legislative Framework Map</w:t>
        </w:r>
      </w:hyperlink>
      <w:r w:rsidRPr="001822FD">
        <w:rPr>
          <w:i/>
          <w:iCs/>
          <w:color w:val="0070C0"/>
          <w:lang w:val="en-US"/>
        </w:rPr>
        <w:t xml:space="preserve"> and the </w:t>
      </w:r>
      <w:hyperlink r:id="rId12" w:history="1">
        <w:r w:rsidR="001575DB">
          <w:rPr>
            <w:rStyle w:val="Hyperlink"/>
            <w:i/>
            <w:iCs/>
            <w:color w:val="0070C0"/>
          </w:rPr>
          <w:t>Global E-waste Country Sheets (globalewaste.org)</w:t>
        </w:r>
      </w:hyperlink>
      <w:r w:rsidRPr="001822FD">
        <w:rPr>
          <w:i/>
          <w:iCs/>
          <w:color w:val="0070C0"/>
          <w:lang w:val="en-US"/>
        </w:rPr>
        <w:t xml:space="preserve"> </w:t>
      </w:r>
      <w:r w:rsidRPr="001822FD">
        <w:rPr>
          <w:i/>
          <w:iCs/>
          <w:color w:val="0070C0"/>
          <w:lang w:val="en-US"/>
        </w:rPr>
        <w:t>for a</w:t>
      </w:r>
      <w:r w:rsidRPr="001822FD">
        <w:rPr>
          <w:i/>
          <w:iCs/>
          <w:color w:val="0070C0"/>
          <w:lang w:val="en-US"/>
        </w:rPr>
        <w:t xml:space="preserve"> reliable source and starting point </w:t>
      </w:r>
      <w:r w:rsidR="001575DB">
        <w:rPr>
          <w:i/>
          <w:iCs/>
          <w:color w:val="0070C0"/>
          <w:lang w:val="en-US"/>
        </w:rPr>
        <w:t>to increase your understanding</w:t>
      </w:r>
      <w:r w:rsidRPr="001822FD">
        <w:rPr>
          <w:i/>
          <w:iCs/>
          <w:color w:val="0070C0"/>
          <w:lang w:val="en-US"/>
        </w:rPr>
        <w:t xml:space="preserve"> of e-waste legislation</w:t>
      </w:r>
      <w:r w:rsidRPr="001822FD">
        <w:rPr>
          <w:i/>
          <w:iCs/>
          <w:color w:val="0070C0"/>
          <w:lang w:val="en-US"/>
        </w:rPr>
        <w:t xml:space="preserve"> that may affect your operations</w:t>
      </w:r>
      <w:r w:rsidRPr="001822FD">
        <w:rPr>
          <w:i/>
          <w:iCs/>
          <w:color w:val="0070C0"/>
          <w:lang w:val="en-US"/>
        </w:rPr>
        <w:t xml:space="preserve">. </w:t>
      </w:r>
    </w:p>
    <w:p w14:paraId="42D13C4F" w14:textId="52346646" w:rsidR="001575DB" w:rsidRPr="001822FD" w:rsidRDefault="001575DB" w:rsidP="001822FD">
      <w:pPr>
        <w:pStyle w:val="ListParagraph"/>
        <w:ind w:left="780"/>
        <w:rPr>
          <w:i/>
          <w:iCs/>
          <w:color w:val="0070C0"/>
          <w:lang w:val="en-US"/>
        </w:rPr>
      </w:pPr>
      <w:r>
        <w:rPr>
          <w:i/>
          <w:iCs/>
          <w:color w:val="0070C0"/>
          <w:lang w:val="en-US"/>
        </w:rPr>
        <w:t xml:space="preserve">N.B. new legislation might have been ratified since these databases were last updated. The Bamako convention only applies to African nations. </w:t>
      </w:r>
    </w:p>
    <w:p w14:paraId="69AFE2B8" w14:textId="77777777" w:rsidR="001822FD" w:rsidRPr="001822FD" w:rsidRDefault="001822FD" w:rsidP="001822FD">
      <w:pPr>
        <w:pStyle w:val="ListParagraph"/>
        <w:ind w:left="780"/>
        <w:rPr>
          <w:lang w:val="en-US"/>
        </w:rPr>
      </w:pPr>
    </w:p>
    <w:p w14:paraId="07E6E715" w14:textId="604FB412" w:rsidR="001B7F8D" w:rsidRPr="001575DB" w:rsidRDefault="00A41B8C" w:rsidP="001575DB">
      <w:pPr>
        <w:spacing w:after="0"/>
        <w:ind w:firstLine="720"/>
        <w:rPr>
          <w:i/>
          <w:iCs/>
          <w:color w:val="0070C0"/>
          <w:lang w:val="en-US"/>
        </w:rPr>
      </w:pPr>
      <w:r w:rsidRPr="001575DB">
        <w:rPr>
          <w:i/>
          <w:iCs/>
          <w:color w:val="0070C0"/>
          <w:lang w:val="en-US"/>
        </w:rPr>
        <w:t>See examples for India below</w:t>
      </w:r>
      <w:r w:rsidR="001575DB">
        <w:rPr>
          <w:i/>
          <w:iCs/>
          <w:color w:val="0070C0"/>
          <w:lang w:val="en-US"/>
        </w:rPr>
        <w:t>:</w:t>
      </w:r>
    </w:p>
    <w:p w14:paraId="237F1516" w14:textId="408E77F4" w:rsidR="00A41B8C" w:rsidRPr="001575DB" w:rsidRDefault="00A41B8C" w:rsidP="001575DB">
      <w:pPr>
        <w:pStyle w:val="ListParagraph"/>
        <w:numPr>
          <w:ilvl w:val="1"/>
          <w:numId w:val="4"/>
        </w:numPr>
        <w:spacing w:after="0"/>
        <w:rPr>
          <w:i/>
          <w:iCs/>
          <w:color w:val="0070C0"/>
          <w:lang w:val="en-US"/>
        </w:rPr>
      </w:pPr>
      <w:r w:rsidRPr="001575DB">
        <w:rPr>
          <w:i/>
          <w:iCs/>
          <w:color w:val="0070C0"/>
          <w:lang w:val="en-US"/>
        </w:rPr>
        <w:t>E- Waste (Management) Amendment Rules, 2018</w:t>
      </w:r>
    </w:p>
    <w:p w14:paraId="349CA136" w14:textId="0074A2A4" w:rsidR="00BA4D8C" w:rsidRPr="001575DB" w:rsidRDefault="00BA4D8C" w:rsidP="001575DB">
      <w:pPr>
        <w:pStyle w:val="ListParagraph"/>
        <w:numPr>
          <w:ilvl w:val="1"/>
          <w:numId w:val="4"/>
        </w:numPr>
        <w:spacing w:after="0"/>
        <w:rPr>
          <w:i/>
          <w:iCs/>
          <w:color w:val="0070C0"/>
          <w:lang w:val="en-US"/>
        </w:rPr>
      </w:pPr>
      <w:r w:rsidRPr="001575DB">
        <w:rPr>
          <w:i/>
          <w:iCs/>
          <w:color w:val="0070C0"/>
          <w:lang w:val="en-US"/>
        </w:rPr>
        <w:t>E-Waste (Management) Rules, 2016</w:t>
      </w:r>
    </w:p>
    <w:p w14:paraId="159019F0" w14:textId="4A549FB3" w:rsidR="00BA4D8C" w:rsidRPr="001575DB" w:rsidRDefault="00A63BF7" w:rsidP="001575DB">
      <w:pPr>
        <w:pStyle w:val="ListParagraph"/>
        <w:numPr>
          <w:ilvl w:val="1"/>
          <w:numId w:val="4"/>
        </w:numPr>
        <w:spacing w:after="0"/>
        <w:rPr>
          <w:i/>
          <w:iCs/>
          <w:color w:val="0070C0"/>
          <w:lang w:val="en-US"/>
        </w:rPr>
      </w:pPr>
      <w:r w:rsidRPr="001575DB">
        <w:rPr>
          <w:i/>
          <w:iCs/>
          <w:color w:val="0070C0"/>
          <w:lang w:val="en-US"/>
        </w:rPr>
        <w:t>Guidelines on Implementation of E-Waste (Management) Rules, 2016</w:t>
      </w:r>
    </w:p>
    <w:p w14:paraId="7679F9B3" w14:textId="5C6DADE9" w:rsidR="00DE2551" w:rsidRPr="00437E29" w:rsidRDefault="00437E29" w:rsidP="001575DB">
      <w:pPr>
        <w:pStyle w:val="Heading1"/>
      </w:pPr>
      <w:bookmarkStart w:id="6" w:name="_Toc83021343"/>
      <w:r>
        <w:t>Stakeholders and r</w:t>
      </w:r>
      <w:r w:rsidR="00444A63" w:rsidRPr="00437E29">
        <w:t xml:space="preserve">elationship </w:t>
      </w:r>
      <w:r>
        <w:t>m</w:t>
      </w:r>
      <w:r w:rsidR="00444A63" w:rsidRPr="00437E29">
        <w:t xml:space="preserve">anagement </w:t>
      </w:r>
      <w:bookmarkEnd w:id="6"/>
    </w:p>
    <w:p w14:paraId="30D4AACE" w14:textId="72EFA8DE" w:rsidR="00437E29" w:rsidRDefault="00437E29" w:rsidP="00437E29">
      <w:pPr>
        <w:rPr>
          <w:lang w:val="en-US"/>
        </w:rPr>
      </w:pPr>
      <w:r>
        <w:rPr>
          <w:lang w:val="en-US"/>
        </w:rPr>
        <w:t>Effective e-waste management within [</w:t>
      </w:r>
      <w:r w:rsidRPr="00437E29">
        <w:rPr>
          <w:highlight w:val="yellow"/>
          <w:lang w:val="en-US"/>
        </w:rPr>
        <w:t xml:space="preserve">company </w:t>
      </w:r>
      <w:proofErr w:type="spellStart"/>
      <w:r w:rsidRPr="00437E29">
        <w:rPr>
          <w:highlight w:val="yellow"/>
          <w:lang w:val="en-US"/>
        </w:rPr>
        <w:t>name_country</w:t>
      </w:r>
      <w:proofErr w:type="spellEnd"/>
      <w:r>
        <w:rPr>
          <w:lang w:val="en-US"/>
        </w:rPr>
        <w:t xml:space="preserve">] requires liaison with and management of both internal and external stakeholders. </w:t>
      </w:r>
    </w:p>
    <w:p w14:paraId="6F2E54A4" w14:textId="525FA466" w:rsidR="00437E29" w:rsidRDefault="00437E29" w:rsidP="00437E29">
      <w:pPr>
        <w:rPr>
          <w:lang w:val="en-US"/>
        </w:rPr>
      </w:pPr>
      <w:r>
        <w:rPr>
          <w:lang w:val="en-US"/>
        </w:rPr>
        <w:t>Internal</w:t>
      </w:r>
      <w:r w:rsidR="00C06DA7">
        <w:rPr>
          <w:lang w:val="en-US"/>
        </w:rPr>
        <w:t xml:space="preserve"> stakeholders include e-waste champion(s) who can influence and promote the activities and those with responsibilities in the e-waste chain. </w:t>
      </w:r>
    </w:p>
    <w:p w14:paraId="3A32C0A3" w14:textId="1F57608F" w:rsidR="00C06DA7" w:rsidRDefault="00C06DA7" w:rsidP="00437E29">
      <w:pPr>
        <w:rPr>
          <w:lang w:val="en-US"/>
        </w:rPr>
      </w:pPr>
      <w:r>
        <w:rPr>
          <w:lang w:val="en-US"/>
        </w:rPr>
        <w:lastRenderedPageBreak/>
        <w:t>The e-waste lead and champion(s) are:</w:t>
      </w:r>
    </w:p>
    <w:p w14:paraId="7F5A566A" w14:textId="6F8851EC" w:rsidR="00C06DA7" w:rsidRDefault="00C06DA7" w:rsidP="00C06DA7">
      <w:pPr>
        <w:pStyle w:val="ListParagraph"/>
        <w:numPr>
          <w:ilvl w:val="0"/>
          <w:numId w:val="4"/>
        </w:numPr>
        <w:rPr>
          <w:lang w:val="en-US"/>
        </w:rPr>
      </w:pPr>
      <w:r>
        <w:rPr>
          <w:lang w:val="en-US"/>
        </w:rPr>
        <w:t>[</w:t>
      </w:r>
      <w:r w:rsidRPr="00C06DA7">
        <w:rPr>
          <w:highlight w:val="yellow"/>
          <w:lang w:val="en-US"/>
        </w:rPr>
        <w:t>List the designated e-waste lead and company e-waste champions</w:t>
      </w:r>
      <w:r>
        <w:rPr>
          <w:lang w:val="en-US"/>
        </w:rPr>
        <w:t>]</w:t>
      </w:r>
    </w:p>
    <w:p w14:paraId="23E03CE7" w14:textId="63F56C94" w:rsidR="00C06DA7" w:rsidRPr="00C06DA7" w:rsidRDefault="00C06DA7" w:rsidP="00C06DA7">
      <w:pPr>
        <w:ind w:left="780"/>
        <w:rPr>
          <w:i/>
          <w:iCs/>
          <w:color w:val="0070C0"/>
          <w:lang w:val="en-US"/>
        </w:rPr>
      </w:pPr>
      <w:r w:rsidRPr="00C06DA7">
        <w:rPr>
          <w:i/>
          <w:iCs/>
          <w:color w:val="0070C0"/>
          <w:lang w:val="en-US"/>
        </w:rPr>
        <w:t>Examples may include head of aftersales, country operations manager, logistics/product manager</w:t>
      </w:r>
    </w:p>
    <w:p w14:paraId="6F040D0D" w14:textId="427056FA" w:rsidR="00C06DA7" w:rsidRDefault="00C06DA7" w:rsidP="00437E29">
      <w:pPr>
        <w:rPr>
          <w:lang w:val="en-US"/>
        </w:rPr>
      </w:pPr>
      <w:r>
        <w:rPr>
          <w:lang w:val="en-US"/>
        </w:rPr>
        <w:t xml:space="preserve">Externally, identifying and maintaining relationships with reputable e-waste processors is important to ensuring </w:t>
      </w:r>
      <w:r w:rsidR="00D62151">
        <w:rPr>
          <w:lang w:val="en-US"/>
        </w:rPr>
        <w:t xml:space="preserve">that e-waste can be safely and responsibly recycled or disposed of. </w:t>
      </w:r>
    </w:p>
    <w:p w14:paraId="3A90FD74" w14:textId="1734EBE7" w:rsidR="00D62151" w:rsidRDefault="00D62151" w:rsidP="00437E29">
      <w:pPr>
        <w:rPr>
          <w:lang w:val="en-US"/>
        </w:rPr>
      </w:pPr>
      <w:r>
        <w:rPr>
          <w:lang w:val="en-US"/>
        </w:rPr>
        <w:t>The e-waste processing partners in [country] are:</w:t>
      </w:r>
    </w:p>
    <w:p w14:paraId="192464B4" w14:textId="2789F7B9" w:rsidR="00D62151" w:rsidRDefault="00D62151" w:rsidP="00D62151">
      <w:pPr>
        <w:pStyle w:val="ListParagraph"/>
        <w:numPr>
          <w:ilvl w:val="0"/>
          <w:numId w:val="4"/>
        </w:numPr>
        <w:rPr>
          <w:lang w:val="en-US"/>
        </w:rPr>
      </w:pPr>
      <w:r>
        <w:rPr>
          <w:lang w:val="en-US"/>
        </w:rPr>
        <w:t>[</w:t>
      </w:r>
      <w:r w:rsidRPr="00D62151">
        <w:rPr>
          <w:highlight w:val="yellow"/>
          <w:lang w:val="en-US"/>
        </w:rPr>
        <w:t>Where in place, list the e-waste / recycling service providers</w:t>
      </w:r>
      <w:r>
        <w:rPr>
          <w:lang w:val="en-US"/>
        </w:rPr>
        <w:t>]</w:t>
      </w:r>
    </w:p>
    <w:p w14:paraId="72F144AD" w14:textId="435BF334" w:rsidR="00D62151" w:rsidRPr="00D62151" w:rsidRDefault="00D62151" w:rsidP="00D62151">
      <w:pPr>
        <w:pStyle w:val="ListParagraph"/>
        <w:ind w:left="780"/>
        <w:rPr>
          <w:i/>
          <w:iCs/>
          <w:color w:val="0070C0"/>
          <w:lang w:val="en-US"/>
        </w:rPr>
      </w:pPr>
      <w:r w:rsidRPr="00D62151">
        <w:rPr>
          <w:i/>
          <w:iCs/>
          <w:color w:val="0070C0"/>
          <w:lang w:val="en-US"/>
        </w:rPr>
        <w:t>E.g. transporters, dismantlers, recyclers</w:t>
      </w:r>
    </w:p>
    <w:p w14:paraId="516B10C9" w14:textId="78CE7A67" w:rsidR="00B92823" w:rsidRPr="002D3AB1" w:rsidRDefault="00B92823" w:rsidP="00553FDF">
      <w:pPr>
        <w:pStyle w:val="Heading1"/>
        <w:rPr>
          <w:lang w:val="en-US"/>
        </w:rPr>
      </w:pPr>
      <w:bookmarkStart w:id="7" w:name="_Toc83021344"/>
      <w:r w:rsidRPr="002D3AB1">
        <w:rPr>
          <w:lang w:val="en-US"/>
        </w:rPr>
        <w:t xml:space="preserve">Roles and </w:t>
      </w:r>
      <w:r w:rsidRPr="00553FDF">
        <w:t>Responsibilities</w:t>
      </w:r>
      <w:bookmarkEnd w:id="7"/>
    </w:p>
    <w:p w14:paraId="56C84781" w14:textId="0A7AAD4C" w:rsidR="00CF7955" w:rsidRPr="002D3AB1" w:rsidRDefault="2877D6FE" w:rsidP="00437E29">
      <w:pPr>
        <w:rPr>
          <w:lang w:val="en-US"/>
        </w:rPr>
      </w:pPr>
      <w:r w:rsidRPr="6885A24E">
        <w:rPr>
          <w:lang w:val="en-US"/>
        </w:rPr>
        <w:t>T</w:t>
      </w:r>
      <w:r w:rsidR="00874B24" w:rsidRPr="6885A24E">
        <w:rPr>
          <w:lang w:val="en-US"/>
        </w:rPr>
        <w:t xml:space="preserve">he roles and responsibilities </w:t>
      </w:r>
      <w:r w:rsidR="79481B17" w:rsidRPr="6885A24E">
        <w:rPr>
          <w:lang w:val="en-US"/>
        </w:rPr>
        <w:t xml:space="preserve">of </w:t>
      </w:r>
      <w:r w:rsidR="00E2071A" w:rsidRPr="6885A24E">
        <w:rPr>
          <w:lang w:val="en-US"/>
        </w:rPr>
        <w:t xml:space="preserve">the </w:t>
      </w:r>
      <w:r w:rsidR="0B84A9E9" w:rsidRPr="6885A24E">
        <w:rPr>
          <w:lang w:val="en-US"/>
        </w:rPr>
        <w:t>[</w:t>
      </w:r>
      <w:r w:rsidR="0B84A9E9" w:rsidRPr="00316A51">
        <w:rPr>
          <w:highlight w:val="yellow"/>
          <w:lang w:val="en-US"/>
        </w:rPr>
        <w:t>country</w:t>
      </w:r>
      <w:r w:rsidR="0B84A9E9" w:rsidRPr="6885A24E">
        <w:rPr>
          <w:lang w:val="en-US"/>
        </w:rPr>
        <w:t>] operations</w:t>
      </w:r>
      <w:r w:rsidR="00E2071A" w:rsidRPr="6885A24E">
        <w:rPr>
          <w:lang w:val="en-US"/>
        </w:rPr>
        <w:t xml:space="preserve"> team </w:t>
      </w:r>
      <w:r w:rsidR="40089864" w:rsidRPr="6885A24E">
        <w:rPr>
          <w:lang w:val="en-US"/>
        </w:rPr>
        <w:t>for e-waste management are listed below</w:t>
      </w:r>
      <w:r w:rsidR="00E2071A" w:rsidRPr="6885A24E">
        <w:rPr>
          <w:lang w:val="en-US"/>
        </w:rPr>
        <w:t xml:space="preserve">. </w:t>
      </w:r>
    </w:p>
    <w:p w14:paraId="3EA10F06" w14:textId="3D6AB538" w:rsidR="00CF7955" w:rsidRPr="002D3AB1" w:rsidRDefault="00763286" w:rsidP="00437E29">
      <w:pPr>
        <w:rPr>
          <w:lang w:val="en-US"/>
        </w:rPr>
      </w:pPr>
      <w:r w:rsidRPr="6885A24E">
        <w:rPr>
          <w:lang w:val="en-US"/>
        </w:rPr>
        <w:t>The [</w:t>
      </w:r>
      <w:r w:rsidRPr="6885A24E">
        <w:rPr>
          <w:highlight w:val="yellow"/>
          <w:lang w:val="en-US"/>
        </w:rPr>
        <w:t>insert company’s e-waste global policy</w:t>
      </w:r>
      <w:r w:rsidRPr="6885A24E">
        <w:rPr>
          <w:lang w:val="en-US"/>
        </w:rPr>
        <w:t xml:space="preserve">] details </w:t>
      </w:r>
      <w:r w:rsidR="34B2988A" w:rsidRPr="6885A24E">
        <w:rPr>
          <w:lang w:val="en-US"/>
        </w:rPr>
        <w:t>[</w:t>
      </w:r>
      <w:r w:rsidR="3A94FCCC" w:rsidRPr="001575DB">
        <w:rPr>
          <w:highlight w:val="cyan"/>
          <w:lang w:val="en-US"/>
        </w:rPr>
        <w:t>company-level / global</w:t>
      </w:r>
      <w:r w:rsidR="1A33CD7A" w:rsidRPr="6885A24E">
        <w:rPr>
          <w:lang w:val="en-US"/>
        </w:rPr>
        <w:t>]</w:t>
      </w:r>
      <w:r w:rsidR="3A94FCCC" w:rsidRPr="6885A24E">
        <w:rPr>
          <w:lang w:val="en-US"/>
        </w:rPr>
        <w:t xml:space="preserve"> </w:t>
      </w:r>
      <w:r w:rsidRPr="6885A24E">
        <w:rPr>
          <w:lang w:val="en-US"/>
        </w:rPr>
        <w:t>roles and responsibility</w:t>
      </w:r>
      <w:r w:rsidR="00CC76B1" w:rsidRPr="6885A24E">
        <w:rPr>
          <w:lang w:val="en-US"/>
        </w:rPr>
        <w:t xml:space="preserve"> </w:t>
      </w:r>
      <w:r w:rsidR="44CD882E" w:rsidRPr="6885A24E">
        <w:rPr>
          <w:lang w:val="en-US"/>
        </w:rPr>
        <w:t xml:space="preserve">for </w:t>
      </w:r>
      <w:r w:rsidR="00CC76B1" w:rsidRPr="6885A24E">
        <w:rPr>
          <w:lang w:val="en-US"/>
        </w:rPr>
        <w:t>e-waste</w:t>
      </w:r>
      <w:r w:rsidR="00805DD6">
        <w:rPr>
          <w:lang w:val="en-US"/>
        </w:rPr>
        <w:t>, and a</w:t>
      </w:r>
      <w:r w:rsidR="50EA39E1" w:rsidRPr="6885A24E">
        <w:rPr>
          <w:lang w:val="en-US"/>
        </w:rPr>
        <w:t xml:space="preserve">ny country-level variations in responsibility due to team structure </w:t>
      </w:r>
      <w:r w:rsidR="00A71A35">
        <w:rPr>
          <w:lang w:val="en-US"/>
        </w:rPr>
        <w:t>are</w:t>
      </w:r>
      <w:r w:rsidR="50EA39E1" w:rsidRPr="6885A24E">
        <w:rPr>
          <w:lang w:val="en-US"/>
        </w:rPr>
        <w:t xml:space="preserve"> outlined </w:t>
      </w:r>
      <w:r w:rsidR="00A71A35">
        <w:rPr>
          <w:lang w:val="en-US"/>
        </w:rPr>
        <w:t>here</w:t>
      </w:r>
      <w:r w:rsidR="50EA39E1" w:rsidRPr="6885A24E">
        <w:rPr>
          <w:lang w:val="en-US"/>
        </w:rPr>
        <w:t xml:space="preserve">. </w:t>
      </w:r>
    </w:p>
    <w:p w14:paraId="6DC63F7D" w14:textId="734A82E6" w:rsidR="00B92823" w:rsidRPr="00A71A35" w:rsidRDefault="00DD14B8" w:rsidP="00437E29">
      <w:pPr>
        <w:rPr>
          <w:i/>
          <w:iCs/>
          <w:color w:val="0070C0"/>
          <w:lang w:val="en-US"/>
        </w:rPr>
      </w:pPr>
      <w:r w:rsidRPr="00A71A35">
        <w:rPr>
          <w:i/>
          <w:iCs/>
          <w:color w:val="0070C0"/>
          <w:lang w:val="en-US"/>
        </w:rPr>
        <w:t xml:space="preserve">Note to author: </w:t>
      </w:r>
      <w:r w:rsidR="001970FA" w:rsidRPr="00A71A35">
        <w:rPr>
          <w:i/>
          <w:iCs/>
          <w:color w:val="0070C0"/>
          <w:lang w:val="en-US"/>
        </w:rPr>
        <w:t xml:space="preserve">Clearly define </w:t>
      </w:r>
      <w:r w:rsidR="00316A51" w:rsidRPr="00A71A35">
        <w:rPr>
          <w:i/>
          <w:iCs/>
          <w:color w:val="0070C0"/>
          <w:lang w:val="en-US"/>
        </w:rPr>
        <w:t xml:space="preserve">all </w:t>
      </w:r>
      <w:r w:rsidR="008C3825" w:rsidRPr="00A71A35">
        <w:rPr>
          <w:i/>
          <w:iCs/>
          <w:color w:val="0070C0"/>
          <w:lang w:val="en-US"/>
        </w:rPr>
        <w:t>responsibilities</w:t>
      </w:r>
      <w:r w:rsidR="001970FA" w:rsidRPr="00A71A35">
        <w:rPr>
          <w:i/>
          <w:iCs/>
          <w:color w:val="0070C0"/>
          <w:lang w:val="en-US"/>
        </w:rPr>
        <w:t xml:space="preserve"> in the table below. </w:t>
      </w:r>
      <w:r w:rsidR="00A71A35" w:rsidRPr="00A71A35">
        <w:rPr>
          <w:i/>
          <w:iCs/>
          <w:color w:val="0070C0"/>
          <w:lang w:val="en-US"/>
        </w:rPr>
        <w:t>When attributing responsibilities to certain roles or departments, ensure that they are part of a role’s job description or department’s objectives</w:t>
      </w:r>
    </w:p>
    <w:tbl>
      <w:tblPr>
        <w:tblStyle w:val="TableGridLight"/>
        <w:tblW w:w="0" w:type="auto"/>
        <w:tblLook w:val="04A0" w:firstRow="1" w:lastRow="0" w:firstColumn="1" w:lastColumn="0" w:noHBand="0" w:noVBand="1"/>
      </w:tblPr>
      <w:tblGrid>
        <w:gridCol w:w="3256"/>
        <w:gridCol w:w="5760"/>
      </w:tblGrid>
      <w:tr w:rsidR="00B92823" w:rsidRPr="002D3AB1" w14:paraId="788EBE08" w14:textId="77777777" w:rsidTr="00805DD6">
        <w:tc>
          <w:tcPr>
            <w:tcW w:w="3256" w:type="dxa"/>
            <w:shd w:val="clear" w:color="auto" w:fill="122948"/>
          </w:tcPr>
          <w:p w14:paraId="6EA823C8" w14:textId="667082AE" w:rsidR="00B92823" w:rsidRPr="00805DD6" w:rsidRDefault="00E17221" w:rsidP="00DD14B8">
            <w:pPr>
              <w:rPr>
                <w:rFonts w:cs="Arial"/>
                <w:b/>
                <w:bCs/>
                <w:color w:val="FFFFFF" w:themeColor="background1"/>
                <w:lang w:val="en-US"/>
              </w:rPr>
            </w:pPr>
            <w:r w:rsidRPr="00805DD6">
              <w:rPr>
                <w:rFonts w:cs="Arial"/>
                <w:b/>
                <w:bCs/>
                <w:color w:val="FFFFFF" w:themeColor="background1"/>
                <w:lang w:val="en-US"/>
              </w:rPr>
              <w:t>Role</w:t>
            </w:r>
            <w:r w:rsidR="009B116A" w:rsidRPr="00805DD6">
              <w:rPr>
                <w:rFonts w:cs="Arial"/>
                <w:b/>
                <w:bCs/>
                <w:color w:val="FFFFFF" w:themeColor="background1"/>
                <w:lang w:val="en-US"/>
              </w:rPr>
              <w:t xml:space="preserve">/Department </w:t>
            </w:r>
          </w:p>
        </w:tc>
        <w:tc>
          <w:tcPr>
            <w:tcW w:w="5760" w:type="dxa"/>
            <w:shd w:val="clear" w:color="auto" w:fill="122948"/>
          </w:tcPr>
          <w:p w14:paraId="43719C87" w14:textId="2278647C" w:rsidR="00B92823" w:rsidRPr="00805DD6" w:rsidRDefault="009B116A" w:rsidP="00DD14B8">
            <w:pPr>
              <w:rPr>
                <w:rFonts w:cs="Arial"/>
                <w:b/>
                <w:bCs/>
                <w:color w:val="FFFFFF" w:themeColor="background1"/>
                <w:lang w:val="en-US"/>
              </w:rPr>
            </w:pPr>
            <w:r w:rsidRPr="00805DD6">
              <w:rPr>
                <w:rFonts w:cs="Arial"/>
                <w:b/>
                <w:bCs/>
                <w:color w:val="FFFFFF" w:themeColor="background1"/>
                <w:lang w:val="en-US"/>
              </w:rPr>
              <w:t>Responsibilities</w:t>
            </w:r>
          </w:p>
        </w:tc>
      </w:tr>
      <w:tr w:rsidR="00B92823" w:rsidRPr="002D3AB1" w14:paraId="4C99A84F" w14:textId="77777777" w:rsidTr="00805DD6">
        <w:trPr>
          <w:trHeight w:val="570"/>
        </w:trPr>
        <w:tc>
          <w:tcPr>
            <w:tcW w:w="3256" w:type="dxa"/>
          </w:tcPr>
          <w:p w14:paraId="171D34B1" w14:textId="661B8BC8" w:rsidR="00B92823" w:rsidRPr="00805DD6" w:rsidRDefault="00615AD8" w:rsidP="00DD14B8">
            <w:pPr>
              <w:rPr>
                <w:rFonts w:cs="Arial"/>
                <w:lang w:val="en-US"/>
              </w:rPr>
            </w:pPr>
            <w:r w:rsidRPr="00805DD6">
              <w:rPr>
                <w:rFonts w:cs="Arial"/>
                <w:lang w:val="en-US"/>
              </w:rPr>
              <w:t xml:space="preserve">Example: </w:t>
            </w:r>
            <w:r w:rsidR="00805DD6" w:rsidRPr="00805DD6">
              <w:rPr>
                <w:rFonts w:cs="Arial"/>
                <w:i/>
                <w:iCs/>
                <w:color w:val="767171" w:themeColor="background2" w:themeShade="80"/>
                <w:lang w:val="en-US"/>
              </w:rPr>
              <w:t>Uganda</w:t>
            </w:r>
            <w:r w:rsidR="00240A87" w:rsidRPr="00805DD6">
              <w:rPr>
                <w:rFonts w:cs="Arial"/>
                <w:i/>
                <w:iCs/>
                <w:color w:val="767171" w:themeColor="background2" w:themeShade="80"/>
                <w:lang w:val="en-US"/>
              </w:rPr>
              <w:t xml:space="preserve"> Managing Director</w:t>
            </w:r>
          </w:p>
        </w:tc>
        <w:tc>
          <w:tcPr>
            <w:tcW w:w="5760" w:type="dxa"/>
          </w:tcPr>
          <w:p w14:paraId="224CC805" w14:textId="77777777" w:rsidR="00CF7955" w:rsidRPr="00805DD6" w:rsidRDefault="385A9C03" w:rsidP="001575DB">
            <w:pPr>
              <w:pStyle w:val="ListParagraph"/>
              <w:numPr>
                <w:ilvl w:val="0"/>
                <w:numId w:val="1"/>
              </w:numPr>
              <w:spacing w:line="259" w:lineRule="auto"/>
              <w:rPr>
                <w:rFonts w:eastAsiaTheme="minorEastAsia"/>
                <w:i/>
                <w:iCs/>
                <w:color w:val="767171" w:themeColor="background2" w:themeShade="80"/>
                <w:lang w:val="en-US"/>
              </w:rPr>
            </w:pPr>
            <w:r w:rsidRPr="00805DD6">
              <w:rPr>
                <w:rFonts w:cs="Arial"/>
                <w:i/>
                <w:iCs/>
                <w:color w:val="767171" w:themeColor="background2" w:themeShade="80"/>
                <w:lang w:val="en-US"/>
              </w:rPr>
              <w:t>Enforce the e-waste process</w:t>
            </w:r>
          </w:p>
          <w:p w14:paraId="3C0ED64E" w14:textId="77777777" w:rsidR="00A30514" w:rsidRPr="00805DD6" w:rsidRDefault="008C3825" w:rsidP="001575DB">
            <w:pPr>
              <w:pStyle w:val="ListParagraph"/>
              <w:numPr>
                <w:ilvl w:val="0"/>
                <w:numId w:val="1"/>
              </w:numPr>
              <w:spacing w:line="259" w:lineRule="auto"/>
              <w:rPr>
                <w:rFonts w:eastAsiaTheme="minorEastAsia"/>
                <w:i/>
                <w:iCs/>
                <w:color w:val="767171" w:themeColor="background2" w:themeShade="80"/>
                <w:lang w:val="en-US"/>
              </w:rPr>
            </w:pPr>
            <w:r w:rsidRPr="00805DD6">
              <w:rPr>
                <w:rFonts w:cs="Arial"/>
                <w:i/>
                <w:iCs/>
                <w:color w:val="767171" w:themeColor="background2" w:themeShade="80"/>
                <w:lang w:val="en-US"/>
              </w:rPr>
              <w:t>Share</w:t>
            </w:r>
            <w:r w:rsidR="41D35398" w:rsidRPr="00805DD6">
              <w:rPr>
                <w:rFonts w:cs="Arial"/>
                <w:i/>
                <w:iCs/>
                <w:color w:val="767171" w:themeColor="background2" w:themeShade="80"/>
                <w:lang w:val="en-US"/>
              </w:rPr>
              <w:t xml:space="preserve"> e-waste </w:t>
            </w:r>
            <w:r w:rsidR="41E2C4A8" w:rsidRPr="00805DD6">
              <w:rPr>
                <w:rFonts w:cs="Arial"/>
                <w:i/>
                <w:iCs/>
                <w:color w:val="767171" w:themeColor="background2" w:themeShade="80"/>
                <w:lang w:val="en-US"/>
              </w:rPr>
              <w:t>progress updates quarterly</w:t>
            </w:r>
            <w:r w:rsidR="41D35398" w:rsidRPr="00805DD6">
              <w:rPr>
                <w:rFonts w:cs="Arial"/>
                <w:i/>
                <w:iCs/>
                <w:color w:val="767171" w:themeColor="background2" w:themeShade="80"/>
                <w:lang w:val="en-US"/>
              </w:rPr>
              <w:t xml:space="preserve"> </w:t>
            </w:r>
            <w:r w:rsidRPr="00805DD6">
              <w:rPr>
                <w:rFonts w:cs="Arial"/>
                <w:i/>
                <w:iCs/>
                <w:color w:val="767171" w:themeColor="background2" w:themeShade="80"/>
                <w:lang w:val="en-US"/>
              </w:rPr>
              <w:t xml:space="preserve">with country and global teams </w:t>
            </w:r>
          </w:p>
          <w:p w14:paraId="567B2079" w14:textId="5843B851" w:rsidR="00B92823" w:rsidRPr="00805DD6" w:rsidRDefault="00805DD6" w:rsidP="001575DB">
            <w:pPr>
              <w:pStyle w:val="ListParagraph"/>
              <w:numPr>
                <w:ilvl w:val="0"/>
                <w:numId w:val="1"/>
              </w:numPr>
              <w:spacing w:line="259" w:lineRule="auto"/>
              <w:rPr>
                <w:rFonts w:eastAsiaTheme="minorEastAsia"/>
                <w:color w:val="767171" w:themeColor="background2" w:themeShade="80"/>
                <w:lang w:val="en-US"/>
              </w:rPr>
            </w:pPr>
            <w:r w:rsidRPr="00805DD6">
              <w:rPr>
                <w:rFonts w:cs="Arial"/>
                <w:i/>
                <w:iCs/>
                <w:color w:val="767171" w:themeColor="background2" w:themeShade="80"/>
                <w:lang w:val="en-US"/>
              </w:rPr>
              <w:t>Approve e-waste budget</w:t>
            </w:r>
            <w:r w:rsidR="41D35398" w:rsidRPr="00805DD6">
              <w:rPr>
                <w:rFonts w:cs="Arial"/>
                <w:color w:val="767171" w:themeColor="background2" w:themeShade="80"/>
                <w:lang w:val="en-US"/>
              </w:rPr>
              <w:t xml:space="preserve"> </w:t>
            </w:r>
          </w:p>
        </w:tc>
      </w:tr>
      <w:tr w:rsidR="00B92823" w:rsidRPr="002D3AB1" w14:paraId="76D0F872" w14:textId="77777777" w:rsidTr="00805DD6">
        <w:tc>
          <w:tcPr>
            <w:tcW w:w="3256" w:type="dxa"/>
          </w:tcPr>
          <w:p w14:paraId="3DDABD2F" w14:textId="762D3012" w:rsidR="00B92823" w:rsidRPr="00805DD6" w:rsidRDefault="00615AD8" w:rsidP="00DD14B8">
            <w:pPr>
              <w:rPr>
                <w:rFonts w:cs="Arial"/>
                <w:lang w:val="en-US"/>
              </w:rPr>
            </w:pPr>
            <w:r w:rsidRPr="00805DD6">
              <w:rPr>
                <w:rFonts w:cs="Arial"/>
                <w:lang w:val="en-US"/>
              </w:rPr>
              <w:t>[</w:t>
            </w:r>
            <w:r w:rsidRPr="00BD6A74">
              <w:rPr>
                <w:rFonts w:cs="Arial"/>
                <w:highlight w:val="yellow"/>
                <w:lang w:val="en-US"/>
              </w:rPr>
              <w:t>Insert role/department</w:t>
            </w:r>
            <w:r w:rsidRPr="00805DD6">
              <w:rPr>
                <w:rFonts w:cs="Arial"/>
                <w:lang w:val="en-US"/>
              </w:rPr>
              <w:t>]</w:t>
            </w:r>
          </w:p>
        </w:tc>
        <w:tc>
          <w:tcPr>
            <w:tcW w:w="5760" w:type="dxa"/>
          </w:tcPr>
          <w:p w14:paraId="0B988FCA" w14:textId="0ED39BE0" w:rsidR="00B92823" w:rsidRPr="00805DD6" w:rsidRDefault="00301C79" w:rsidP="00DD14B8">
            <w:pPr>
              <w:rPr>
                <w:rFonts w:cs="Arial"/>
                <w:lang w:val="en-US"/>
              </w:rPr>
            </w:pPr>
            <w:r w:rsidRPr="00805DD6">
              <w:rPr>
                <w:rFonts w:cs="Arial"/>
                <w:lang w:val="en-US"/>
              </w:rPr>
              <w:t>[</w:t>
            </w:r>
            <w:r w:rsidRPr="00BD6A74">
              <w:rPr>
                <w:rFonts w:cs="Arial"/>
                <w:highlight w:val="yellow"/>
                <w:lang w:val="en-US"/>
              </w:rPr>
              <w:t>Define all responsibilities attributed to that role or department</w:t>
            </w:r>
            <w:r w:rsidR="00805DD6">
              <w:rPr>
                <w:rFonts w:cs="Arial"/>
                <w:lang w:val="en-US"/>
              </w:rPr>
              <w:t>]</w:t>
            </w:r>
          </w:p>
        </w:tc>
      </w:tr>
      <w:tr w:rsidR="00B92823" w:rsidRPr="002D3AB1" w14:paraId="40F418B4" w14:textId="77777777" w:rsidTr="00805DD6">
        <w:tc>
          <w:tcPr>
            <w:tcW w:w="3256" w:type="dxa"/>
          </w:tcPr>
          <w:p w14:paraId="49D812DE" w14:textId="77777777" w:rsidR="00B92823" w:rsidRPr="00805DD6" w:rsidRDefault="00B92823" w:rsidP="00DD14B8">
            <w:pPr>
              <w:rPr>
                <w:rFonts w:cs="Arial"/>
                <w:lang w:val="en-US"/>
              </w:rPr>
            </w:pPr>
          </w:p>
        </w:tc>
        <w:tc>
          <w:tcPr>
            <w:tcW w:w="5760" w:type="dxa"/>
          </w:tcPr>
          <w:p w14:paraId="0158A665" w14:textId="77777777" w:rsidR="00B92823" w:rsidRPr="00805DD6" w:rsidRDefault="00B92823" w:rsidP="00DD14B8">
            <w:pPr>
              <w:rPr>
                <w:rFonts w:cs="Arial"/>
                <w:lang w:val="en-US"/>
              </w:rPr>
            </w:pPr>
          </w:p>
        </w:tc>
      </w:tr>
    </w:tbl>
    <w:p w14:paraId="5EAC99B5" w14:textId="15CE67F7" w:rsidR="00301C79" w:rsidRPr="002D3AB1" w:rsidRDefault="00301C79" w:rsidP="00DD14B8">
      <w:pPr>
        <w:rPr>
          <w:rFonts w:ascii="Arial" w:hAnsi="Arial" w:cs="Arial"/>
          <w:lang w:val="en-US"/>
        </w:rPr>
      </w:pPr>
    </w:p>
    <w:p w14:paraId="58C63EDF" w14:textId="77777777" w:rsidR="00805DD6" w:rsidRDefault="00805DD6">
      <w:pPr>
        <w:spacing w:after="160"/>
        <w:rPr>
          <w:rFonts w:eastAsiaTheme="majorEastAsia" w:cstheme="majorBidi"/>
          <w:sz w:val="32"/>
          <w:szCs w:val="32"/>
          <w:lang w:val="en-US"/>
        </w:rPr>
      </w:pPr>
      <w:bookmarkStart w:id="8" w:name="_Toc83021345"/>
      <w:r>
        <w:rPr>
          <w:lang w:val="en-US"/>
        </w:rPr>
        <w:br w:type="page"/>
      </w:r>
    </w:p>
    <w:p w14:paraId="1FBBBEC6" w14:textId="22F2D446" w:rsidR="006A3C22" w:rsidRPr="002D3AB1" w:rsidRDefault="00917DF4" w:rsidP="00A71A35">
      <w:pPr>
        <w:pStyle w:val="Heading1"/>
        <w:rPr>
          <w:lang w:val="en-US"/>
        </w:rPr>
      </w:pPr>
      <w:r w:rsidRPr="002D3AB1">
        <w:rPr>
          <w:lang w:val="en-US"/>
        </w:rPr>
        <w:lastRenderedPageBreak/>
        <w:t xml:space="preserve">E-waste </w:t>
      </w:r>
      <w:r w:rsidR="00A71A35">
        <w:rPr>
          <w:lang w:val="en-US"/>
        </w:rPr>
        <w:t>p</w:t>
      </w:r>
      <w:r w:rsidR="00B92823" w:rsidRPr="002D3AB1">
        <w:rPr>
          <w:lang w:val="en-US"/>
        </w:rPr>
        <w:t>rocess</w:t>
      </w:r>
      <w:bookmarkEnd w:id="8"/>
    </w:p>
    <w:p w14:paraId="685B77E2" w14:textId="77777777" w:rsidR="00805DD6" w:rsidRPr="00437E29" w:rsidRDefault="00805DD6" w:rsidP="00805DD6">
      <w:pPr>
        <w:rPr>
          <w:i/>
          <w:iCs/>
          <w:color w:val="0070C0"/>
          <w:lang w:val="en-US"/>
        </w:rPr>
      </w:pPr>
      <w:r w:rsidRPr="00805DD6">
        <w:rPr>
          <w:b/>
          <w:bCs/>
          <w:i/>
          <w:iCs/>
          <w:color w:val="0070C0"/>
          <w:lang w:val="en-US"/>
        </w:rPr>
        <w:t>Note to author</w:t>
      </w:r>
      <w:r w:rsidRPr="00437E29">
        <w:rPr>
          <w:i/>
          <w:iCs/>
          <w:color w:val="0070C0"/>
          <w:lang w:val="en-US"/>
        </w:rPr>
        <w:t xml:space="preserve">: Review the process flow chart in the global policy and adapt it as per market and regulatory variations nationally. This includes official transboundary movement, troubleshooting variations, and more. </w:t>
      </w:r>
    </w:p>
    <w:p w14:paraId="6CAFE279" w14:textId="77777777" w:rsidR="0095249C" w:rsidRDefault="00B03EBF" w:rsidP="00437E29">
      <w:pPr>
        <w:rPr>
          <w:lang w:val="en-US"/>
        </w:rPr>
      </w:pPr>
      <w:r w:rsidRPr="6885A24E">
        <w:rPr>
          <w:lang w:val="en-US"/>
        </w:rPr>
        <w:t>Th</w:t>
      </w:r>
      <w:r w:rsidR="00491E8C" w:rsidRPr="6885A24E">
        <w:rPr>
          <w:lang w:val="en-US"/>
        </w:rPr>
        <w:t xml:space="preserve">e process below defines each step </w:t>
      </w:r>
      <w:r w:rsidR="042BF58C" w:rsidRPr="6885A24E">
        <w:rPr>
          <w:lang w:val="en-US"/>
        </w:rPr>
        <w:t xml:space="preserve">of the e-waste process </w:t>
      </w:r>
      <w:r w:rsidR="00491E8C" w:rsidRPr="6885A24E">
        <w:rPr>
          <w:lang w:val="en-US"/>
        </w:rPr>
        <w:t>from receiving</w:t>
      </w:r>
      <w:r w:rsidR="00912747" w:rsidRPr="6885A24E">
        <w:rPr>
          <w:lang w:val="en-US"/>
        </w:rPr>
        <w:t>/collecting</w:t>
      </w:r>
      <w:r w:rsidR="00491E8C" w:rsidRPr="6885A24E">
        <w:rPr>
          <w:lang w:val="en-US"/>
        </w:rPr>
        <w:t xml:space="preserve"> a </w:t>
      </w:r>
      <w:r w:rsidR="00912747" w:rsidRPr="6885A24E">
        <w:rPr>
          <w:lang w:val="en-US"/>
        </w:rPr>
        <w:t xml:space="preserve">non-functioning product, </w:t>
      </w:r>
      <w:r w:rsidR="6145344B" w:rsidRPr="6885A24E">
        <w:rPr>
          <w:lang w:val="en-US"/>
        </w:rPr>
        <w:t xml:space="preserve">to </w:t>
      </w:r>
      <w:r w:rsidR="00912747" w:rsidRPr="6885A24E">
        <w:rPr>
          <w:lang w:val="en-US"/>
        </w:rPr>
        <w:t xml:space="preserve">handling, transporting, storage and safe disposal. </w:t>
      </w:r>
    </w:p>
    <w:p w14:paraId="6D3852AD" w14:textId="7A03F767" w:rsidR="00C37862" w:rsidRDefault="00917DF4" w:rsidP="00437E29">
      <w:pPr>
        <w:rPr>
          <w:lang w:val="en-US"/>
        </w:rPr>
      </w:pPr>
      <w:r w:rsidRPr="6885A24E">
        <w:rPr>
          <w:lang w:val="en-US"/>
        </w:rPr>
        <w:t>The [</w:t>
      </w:r>
      <w:r w:rsidRPr="6885A24E">
        <w:rPr>
          <w:highlight w:val="yellow"/>
          <w:lang w:val="en-US"/>
        </w:rPr>
        <w:t>insert company’s e-waste global policy</w:t>
      </w:r>
      <w:r w:rsidRPr="6885A24E">
        <w:rPr>
          <w:lang w:val="en-US"/>
        </w:rPr>
        <w:t xml:space="preserve">] details the </w:t>
      </w:r>
      <w:r w:rsidR="00F727D2">
        <w:rPr>
          <w:lang w:val="en-US"/>
        </w:rPr>
        <w:t>standard</w:t>
      </w:r>
      <w:r w:rsidRPr="6885A24E">
        <w:rPr>
          <w:lang w:val="en-US"/>
        </w:rPr>
        <w:t xml:space="preserve"> e-waste process flow</w:t>
      </w:r>
      <w:r w:rsidR="00634499" w:rsidRPr="6885A24E">
        <w:rPr>
          <w:lang w:val="en-US"/>
        </w:rPr>
        <w:t xml:space="preserve"> </w:t>
      </w:r>
      <w:r w:rsidR="0095249C">
        <w:rPr>
          <w:lang w:val="en-US"/>
        </w:rPr>
        <w:t>for [</w:t>
      </w:r>
      <w:r w:rsidR="0095249C" w:rsidRPr="0095249C">
        <w:rPr>
          <w:highlight w:val="yellow"/>
          <w:lang w:val="en-US"/>
        </w:rPr>
        <w:t>company name</w:t>
      </w:r>
      <w:r w:rsidR="0095249C">
        <w:rPr>
          <w:lang w:val="en-US"/>
        </w:rPr>
        <w:t>] h</w:t>
      </w:r>
      <w:r w:rsidR="00790264" w:rsidRPr="6885A24E">
        <w:rPr>
          <w:lang w:val="en-US"/>
        </w:rPr>
        <w:t>owever</w:t>
      </w:r>
      <w:r w:rsidR="568613A5" w:rsidRPr="6885A24E">
        <w:rPr>
          <w:lang w:val="en-US"/>
        </w:rPr>
        <w:t>,</w:t>
      </w:r>
      <w:r w:rsidR="00790264" w:rsidRPr="6885A24E">
        <w:rPr>
          <w:lang w:val="en-US"/>
        </w:rPr>
        <w:t xml:space="preserve"> there are </w:t>
      </w:r>
      <w:r w:rsidR="7E3082A4" w:rsidRPr="6885A24E">
        <w:rPr>
          <w:lang w:val="en-US"/>
        </w:rPr>
        <w:t>regulatory</w:t>
      </w:r>
      <w:r w:rsidR="0095249C">
        <w:rPr>
          <w:lang w:val="en-US"/>
        </w:rPr>
        <w:t>,</w:t>
      </w:r>
      <w:r w:rsidR="7E3082A4" w:rsidRPr="6885A24E">
        <w:rPr>
          <w:lang w:val="en-US"/>
        </w:rPr>
        <w:t xml:space="preserve"> </w:t>
      </w:r>
      <w:r w:rsidR="00790264" w:rsidRPr="6885A24E">
        <w:rPr>
          <w:lang w:val="en-US"/>
        </w:rPr>
        <w:t>market</w:t>
      </w:r>
      <w:r w:rsidR="0095249C">
        <w:rPr>
          <w:lang w:val="en-US"/>
        </w:rPr>
        <w:t xml:space="preserve"> and operational</w:t>
      </w:r>
      <w:r w:rsidR="00790264" w:rsidRPr="6885A24E">
        <w:rPr>
          <w:lang w:val="en-US"/>
        </w:rPr>
        <w:t xml:space="preserve"> differentiations that influence </w:t>
      </w:r>
      <w:r w:rsidR="0095249C">
        <w:rPr>
          <w:lang w:val="en-US"/>
        </w:rPr>
        <w:t>e-waste management in [</w:t>
      </w:r>
      <w:r w:rsidR="0095249C" w:rsidRPr="00647FC9">
        <w:rPr>
          <w:highlight w:val="yellow"/>
          <w:lang w:val="en-US"/>
        </w:rPr>
        <w:t>country</w:t>
      </w:r>
      <w:r w:rsidR="0095249C">
        <w:rPr>
          <w:lang w:val="en-US"/>
        </w:rPr>
        <w:t>]</w:t>
      </w:r>
      <w:r w:rsidR="00C37862" w:rsidRPr="6885A24E">
        <w:rPr>
          <w:lang w:val="en-US"/>
        </w:rPr>
        <w:t xml:space="preserve">, </w:t>
      </w:r>
      <w:r w:rsidR="0095249C">
        <w:rPr>
          <w:lang w:val="en-US"/>
        </w:rPr>
        <w:t>which are</w:t>
      </w:r>
      <w:r w:rsidR="00C37862" w:rsidRPr="6885A24E">
        <w:rPr>
          <w:lang w:val="en-US"/>
        </w:rPr>
        <w:t xml:space="preserve"> defined in the </w:t>
      </w:r>
      <w:r w:rsidR="0BDD3366" w:rsidRPr="6885A24E">
        <w:rPr>
          <w:lang w:val="en-US"/>
        </w:rPr>
        <w:t xml:space="preserve">process </w:t>
      </w:r>
      <w:r w:rsidR="00C37862" w:rsidRPr="6885A24E">
        <w:rPr>
          <w:lang w:val="en-US"/>
        </w:rPr>
        <w:t>flow below</w:t>
      </w:r>
      <w:r w:rsidR="0095249C">
        <w:rPr>
          <w:lang w:val="en-US"/>
        </w:rPr>
        <w:t>:</w:t>
      </w:r>
      <w:r w:rsidR="00C37862" w:rsidRPr="6885A24E">
        <w:rPr>
          <w:lang w:val="en-US"/>
        </w:rPr>
        <w:t xml:space="preserve"> </w:t>
      </w:r>
    </w:p>
    <w:p w14:paraId="2A30627D" w14:textId="1BFEBC2F" w:rsidR="00805DD6" w:rsidRDefault="00805DD6" w:rsidP="00805DD6">
      <w:pPr>
        <w:jc w:val="center"/>
        <w:rPr>
          <w:lang w:val="en-US"/>
        </w:rPr>
      </w:pPr>
      <w:r>
        <w:rPr>
          <w:noProof/>
          <w:lang w:val="en-US"/>
        </w:rPr>
        <w:drawing>
          <wp:inline distT="0" distB="0" distL="0" distR="0" wp14:anchorId="16861258" wp14:editId="67AAF335">
            <wp:extent cx="914400" cy="914400"/>
            <wp:effectExtent l="0" t="0" r="0" b="0"/>
            <wp:docPr id="2" name="Graphic 2" descr="Decision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ecision chart outlin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p w14:paraId="7A5AD8D9" w14:textId="5F13288A" w:rsidR="00DD14B8" w:rsidRPr="00D53F31" w:rsidRDefault="00D53F31" w:rsidP="00437E29">
      <w:r w:rsidRPr="00D53F31">
        <w:t>[</w:t>
      </w:r>
      <w:r w:rsidRPr="00D53F31">
        <w:rPr>
          <w:highlight w:val="yellow"/>
        </w:rPr>
        <w:t xml:space="preserve">Insert </w:t>
      </w:r>
      <w:r w:rsidR="0095249C">
        <w:rPr>
          <w:highlight w:val="yellow"/>
        </w:rPr>
        <w:t xml:space="preserve">country-level </w:t>
      </w:r>
      <w:r w:rsidRPr="00D53F31">
        <w:rPr>
          <w:highlight w:val="yellow"/>
        </w:rPr>
        <w:t xml:space="preserve">e-waste management process flow </w:t>
      </w:r>
      <w:r w:rsidR="00647FC9">
        <w:rPr>
          <w:highlight w:val="yellow"/>
        </w:rPr>
        <w:t>covering point of collection t</w:t>
      </w:r>
      <w:r w:rsidRPr="00D53F31">
        <w:rPr>
          <w:highlight w:val="yellow"/>
        </w:rPr>
        <w:t xml:space="preserve">o </w:t>
      </w:r>
      <w:r w:rsidR="00647FC9">
        <w:rPr>
          <w:highlight w:val="yellow"/>
        </w:rPr>
        <w:t xml:space="preserve">recycling/disposal. See Blueprint </w:t>
      </w:r>
      <w:r w:rsidRPr="00D53F31">
        <w:rPr>
          <w:highlight w:val="yellow"/>
        </w:rPr>
        <w:t xml:space="preserve">e-waste management flow charts </w:t>
      </w:r>
      <w:r w:rsidR="00647FC9" w:rsidRPr="00647FC9">
        <w:rPr>
          <w:highlight w:val="yellow"/>
        </w:rPr>
        <w:t>for an example</w:t>
      </w:r>
      <w:r w:rsidRPr="00D53F31">
        <w:t>]</w:t>
      </w:r>
    </w:p>
    <w:p w14:paraId="4C04BB5F" w14:textId="4686F18F" w:rsidR="00C708EC" w:rsidRPr="002D3AB1" w:rsidRDefault="00C708EC" w:rsidP="00DD14B8">
      <w:pPr>
        <w:pStyle w:val="NoSpacing"/>
        <w:rPr>
          <w:rFonts w:ascii="Arial" w:hAnsi="Arial" w:cs="Arial"/>
          <w:lang w:val="en-US"/>
        </w:rPr>
      </w:pPr>
    </w:p>
    <w:sectPr w:rsidR="00C708EC" w:rsidRPr="002D3AB1" w:rsidSect="009E4627">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69F6" w14:textId="77777777" w:rsidR="002D7C8A" w:rsidRDefault="002D7C8A" w:rsidP="009E4627">
      <w:pPr>
        <w:spacing w:after="0" w:line="240" w:lineRule="auto"/>
      </w:pPr>
      <w:r>
        <w:separator/>
      </w:r>
    </w:p>
  </w:endnote>
  <w:endnote w:type="continuationSeparator" w:id="0">
    <w:p w14:paraId="69184C69" w14:textId="77777777" w:rsidR="002D7C8A" w:rsidRDefault="002D7C8A" w:rsidP="009E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fia Pro Light">
    <w:panose1 w:val="00000500000000000000"/>
    <w:charset w:val="00"/>
    <w:family w:val="modern"/>
    <w:notTrueType/>
    <w:pitch w:val="variable"/>
    <w:sig w:usb0="A00002EF" w:usb1="5000E07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08809780"/>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46626EFE" w14:textId="0957E667" w:rsidR="00011509" w:rsidRPr="00011509" w:rsidRDefault="00011509">
            <w:pPr>
              <w:pStyle w:val="Footer"/>
              <w:jc w:val="center"/>
              <w:rPr>
                <w:sz w:val="18"/>
                <w:szCs w:val="18"/>
              </w:rPr>
            </w:pPr>
            <w:r w:rsidRPr="00011509">
              <w:rPr>
                <w:sz w:val="18"/>
                <w:szCs w:val="18"/>
              </w:rPr>
              <w:t xml:space="preserve">Page </w:t>
            </w:r>
            <w:r w:rsidRPr="00011509">
              <w:rPr>
                <w:b/>
                <w:bCs/>
                <w:sz w:val="18"/>
                <w:szCs w:val="18"/>
              </w:rPr>
              <w:fldChar w:fldCharType="begin"/>
            </w:r>
            <w:r w:rsidRPr="00011509">
              <w:rPr>
                <w:b/>
                <w:bCs/>
                <w:sz w:val="18"/>
                <w:szCs w:val="18"/>
              </w:rPr>
              <w:instrText xml:space="preserve"> PAGE </w:instrText>
            </w:r>
            <w:r w:rsidRPr="00011509">
              <w:rPr>
                <w:b/>
                <w:bCs/>
                <w:sz w:val="18"/>
                <w:szCs w:val="18"/>
              </w:rPr>
              <w:fldChar w:fldCharType="separate"/>
            </w:r>
            <w:r w:rsidRPr="00011509">
              <w:rPr>
                <w:b/>
                <w:bCs/>
                <w:noProof/>
                <w:sz w:val="18"/>
                <w:szCs w:val="18"/>
              </w:rPr>
              <w:t>2</w:t>
            </w:r>
            <w:r w:rsidRPr="00011509">
              <w:rPr>
                <w:b/>
                <w:bCs/>
                <w:sz w:val="18"/>
                <w:szCs w:val="18"/>
              </w:rPr>
              <w:fldChar w:fldCharType="end"/>
            </w:r>
            <w:r w:rsidRPr="00011509">
              <w:rPr>
                <w:sz w:val="18"/>
                <w:szCs w:val="18"/>
              </w:rPr>
              <w:t xml:space="preserve"> of </w:t>
            </w:r>
            <w:r w:rsidRPr="00011509">
              <w:rPr>
                <w:b/>
                <w:bCs/>
                <w:sz w:val="18"/>
                <w:szCs w:val="18"/>
              </w:rPr>
              <w:fldChar w:fldCharType="begin"/>
            </w:r>
            <w:r w:rsidRPr="00011509">
              <w:rPr>
                <w:b/>
                <w:bCs/>
                <w:sz w:val="18"/>
                <w:szCs w:val="18"/>
              </w:rPr>
              <w:instrText xml:space="preserve"> NUMPAGES  </w:instrText>
            </w:r>
            <w:r w:rsidRPr="00011509">
              <w:rPr>
                <w:b/>
                <w:bCs/>
                <w:sz w:val="18"/>
                <w:szCs w:val="18"/>
              </w:rPr>
              <w:fldChar w:fldCharType="separate"/>
            </w:r>
            <w:r w:rsidRPr="00011509">
              <w:rPr>
                <w:b/>
                <w:bCs/>
                <w:noProof/>
                <w:sz w:val="18"/>
                <w:szCs w:val="18"/>
              </w:rPr>
              <w:t>2</w:t>
            </w:r>
            <w:r w:rsidRPr="00011509">
              <w:rPr>
                <w:b/>
                <w:bCs/>
                <w:sz w:val="18"/>
                <w:szCs w:val="18"/>
              </w:rPr>
              <w:fldChar w:fldCharType="end"/>
            </w:r>
          </w:p>
        </w:sdtContent>
      </w:sdt>
    </w:sdtContent>
  </w:sdt>
  <w:p w14:paraId="02B7108D" w14:textId="77777777" w:rsidR="00011509" w:rsidRDefault="00011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8911" w14:textId="6CCF0554" w:rsidR="009E4627" w:rsidRPr="001A6F54" w:rsidRDefault="009E4627" w:rsidP="009E4627">
    <w:pPr>
      <w:pStyle w:val="Footer"/>
      <w:jc w:val="both"/>
      <w:rPr>
        <w:sz w:val="18"/>
        <w:szCs w:val="18"/>
      </w:rPr>
    </w:pPr>
    <w:r w:rsidRPr="001A6F54">
      <w:rPr>
        <w:b/>
        <w:bCs/>
        <w:sz w:val="18"/>
        <w:szCs w:val="18"/>
      </w:rPr>
      <w:t>Disclaimer:</w:t>
    </w:r>
    <w:r w:rsidRPr="001A6F54">
      <w:rPr>
        <w:rFonts w:ascii="Calibri" w:hAnsi="Calibri" w:cs="Calibri"/>
        <w:b/>
        <w:bCs/>
        <w:sz w:val="18"/>
        <w:szCs w:val="18"/>
      </w:rPr>
      <w:t> </w:t>
    </w:r>
    <w:r w:rsidRPr="001A6F54">
      <w:rPr>
        <w:sz w:val="18"/>
        <w:szCs w:val="18"/>
      </w:rPr>
      <w:t>The information and tools that form the Circularity Toolkit: E-Waste Blueprints are Intended to provide guidance for companies wishing to improve their e-waste management operations. GOGLA, the authors and sponsors are not responsible or liable in any manner for any damages resulting from use of these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E8544" w14:textId="77777777" w:rsidR="002D7C8A" w:rsidRDefault="002D7C8A" w:rsidP="009E4627">
      <w:pPr>
        <w:spacing w:after="0" w:line="240" w:lineRule="auto"/>
      </w:pPr>
      <w:r>
        <w:separator/>
      </w:r>
    </w:p>
  </w:footnote>
  <w:footnote w:type="continuationSeparator" w:id="0">
    <w:p w14:paraId="1B7F55C3" w14:textId="77777777" w:rsidR="002D7C8A" w:rsidRDefault="002D7C8A" w:rsidP="009E4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33DF" w14:textId="62DF6062" w:rsidR="009E4627" w:rsidRDefault="009E4627">
    <w:pPr>
      <w:pStyle w:val="Header"/>
    </w:pPr>
    <w:r w:rsidRPr="009E4627">
      <w:drawing>
        <wp:anchor distT="0" distB="0" distL="114300" distR="114300" simplePos="0" relativeHeight="251659264" behindDoc="0" locked="0" layoutInCell="1" allowOverlap="1" wp14:anchorId="2E816A31" wp14:editId="35D3A46E">
          <wp:simplePos x="0" y="0"/>
          <wp:positionH relativeFrom="column">
            <wp:posOffset>3874770</wp:posOffset>
          </wp:positionH>
          <wp:positionV relativeFrom="paragraph">
            <wp:posOffset>232410</wp:posOffset>
          </wp:positionV>
          <wp:extent cx="1937385" cy="719455"/>
          <wp:effectExtent l="0" t="0" r="0" b="0"/>
          <wp:wrapTopAndBottom/>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7385" cy="719455"/>
                  </a:xfrm>
                  <a:prstGeom prst="rect">
                    <a:avLst/>
                  </a:prstGeom>
                </pic:spPr>
              </pic:pic>
            </a:graphicData>
          </a:graphic>
        </wp:anchor>
      </w:drawing>
    </w:r>
    <w:r w:rsidRPr="009E4627">
      <w:drawing>
        <wp:anchor distT="0" distB="0" distL="114300" distR="114300" simplePos="0" relativeHeight="251660288" behindDoc="0" locked="0" layoutInCell="1" allowOverlap="1" wp14:anchorId="1357E682" wp14:editId="2E32B4D6">
          <wp:simplePos x="0" y="0"/>
          <wp:positionH relativeFrom="column">
            <wp:posOffset>0</wp:posOffset>
          </wp:positionH>
          <wp:positionV relativeFrom="paragraph">
            <wp:posOffset>167005</wp:posOffset>
          </wp:positionV>
          <wp:extent cx="3154680" cy="789940"/>
          <wp:effectExtent l="0" t="0" r="7620" b="0"/>
          <wp:wrapTopAndBottom/>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54680" cy="789940"/>
                  </a:xfrm>
                  <a:prstGeom prst="rect">
                    <a:avLst/>
                  </a:prstGeom>
                </pic:spPr>
              </pic:pic>
            </a:graphicData>
          </a:graphic>
        </wp:anchor>
      </w:drawing>
    </w:r>
  </w:p>
</w:hdr>
</file>

<file path=word/intelligence.xml><?xml version="1.0" encoding="utf-8"?>
<int:Intelligence xmlns:int="http://schemas.microsoft.com/office/intelligence/2019/intelligence">
  <int:IntelligenceSettings/>
  <int:Manifest>
    <int:WordHash hashCode="m/C6mGJeQTWOW1" id="qvMeBJNK"/>
  </int:Manifest>
  <int:Observations>
    <int:Content id="qvMeBJN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777B2"/>
    <w:multiLevelType w:val="hybridMultilevel"/>
    <w:tmpl w:val="7A0E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2823D9"/>
    <w:multiLevelType w:val="hybridMultilevel"/>
    <w:tmpl w:val="E97CF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572D89"/>
    <w:multiLevelType w:val="hybridMultilevel"/>
    <w:tmpl w:val="1CE6F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023DE5"/>
    <w:multiLevelType w:val="hybridMultilevel"/>
    <w:tmpl w:val="C894496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2sTQ2NgAyzIwsLZV0lIJTi4sz8/NACsxqAbBxDLosAAAA"/>
  </w:docVars>
  <w:rsids>
    <w:rsidRoot w:val="00587F58"/>
    <w:rsid w:val="0000224C"/>
    <w:rsid w:val="00011509"/>
    <w:rsid w:val="000167B4"/>
    <w:rsid w:val="000232FB"/>
    <w:rsid w:val="000342A2"/>
    <w:rsid w:val="00035A6F"/>
    <w:rsid w:val="0004723A"/>
    <w:rsid w:val="00054F89"/>
    <w:rsid w:val="00067657"/>
    <w:rsid w:val="000858A9"/>
    <w:rsid w:val="000966BB"/>
    <w:rsid w:val="00097AC3"/>
    <w:rsid w:val="000A42A4"/>
    <w:rsid w:val="000B1066"/>
    <w:rsid w:val="000E4980"/>
    <w:rsid w:val="000E5497"/>
    <w:rsid w:val="000E64DA"/>
    <w:rsid w:val="000E71D3"/>
    <w:rsid w:val="000F47B4"/>
    <w:rsid w:val="001002F2"/>
    <w:rsid w:val="001063CD"/>
    <w:rsid w:val="0010680F"/>
    <w:rsid w:val="001127E0"/>
    <w:rsid w:val="00112932"/>
    <w:rsid w:val="00114AA9"/>
    <w:rsid w:val="00122A51"/>
    <w:rsid w:val="00142F7D"/>
    <w:rsid w:val="00152912"/>
    <w:rsid w:val="00153FA4"/>
    <w:rsid w:val="001575DB"/>
    <w:rsid w:val="0016292B"/>
    <w:rsid w:val="00172DBC"/>
    <w:rsid w:val="001822FD"/>
    <w:rsid w:val="001827BC"/>
    <w:rsid w:val="00191C66"/>
    <w:rsid w:val="001970FA"/>
    <w:rsid w:val="001A2415"/>
    <w:rsid w:val="001A68D6"/>
    <w:rsid w:val="001A6F54"/>
    <w:rsid w:val="001B36BB"/>
    <w:rsid w:val="001B7158"/>
    <w:rsid w:val="001B7F8D"/>
    <w:rsid w:val="001C0263"/>
    <w:rsid w:val="001C32AF"/>
    <w:rsid w:val="001C3407"/>
    <w:rsid w:val="001C71C9"/>
    <w:rsid w:val="001E0DB1"/>
    <w:rsid w:val="001E39BC"/>
    <w:rsid w:val="001E4C69"/>
    <w:rsid w:val="001F1D72"/>
    <w:rsid w:val="001F3925"/>
    <w:rsid w:val="001F48EF"/>
    <w:rsid w:val="00205323"/>
    <w:rsid w:val="00215979"/>
    <w:rsid w:val="00221FCF"/>
    <w:rsid w:val="00235E64"/>
    <w:rsid w:val="00237BFE"/>
    <w:rsid w:val="00240A87"/>
    <w:rsid w:val="00241B95"/>
    <w:rsid w:val="002433AB"/>
    <w:rsid w:val="002601FF"/>
    <w:rsid w:val="0027639E"/>
    <w:rsid w:val="002809BA"/>
    <w:rsid w:val="00282552"/>
    <w:rsid w:val="00282D2B"/>
    <w:rsid w:val="00294400"/>
    <w:rsid w:val="002A1A23"/>
    <w:rsid w:val="002A7777"/>
    <w:rsid w:val="002C52D1"/>
    <w:rsid w:val="002C6866"/>
    <w:rsid w:val="002D03E4"/>
    <w:rsid w:val="002D2D83"/>
    <w:rsid w:val="002D3AB1"/>
    <w:rsid w:val="002D7C8A"/>
    <w:rsid w:val="002E5728"/>
    <w:rsid w:val="00301C79"/>
    <w:rsid w:val="00302979"/>
    <w:rsid w:val="00304A16"/>
    <w:rsid w:val="00310D9E"/>
    <w:rsid w:val="00316A51"/>
    <w:rsid w:val="003174D6"/>
    <w:rsid w:val="00322533"/>
    <w:rsid w:val="00324D47"/>
    <w:rsid w:val="0033099B"/>
    <w:rsid w:val="003314F2"/>
    <w:rsid w:val="003455F0"/>
    <w:rsid w:val="00363E59"/>
    <w:rsid w:val="003727A3"/>
    <w:rsid w:val="00373171"/>
    <w:rsid w:val="003734C4"/>
    <w:rsid w:val="00374731"/>
    <w:rsid w:val="003778E0"/>
    <w:rsid w:val="0038525B"/>
    <w:rsid w:val="00386026"/>
    <w:rsid w:val="0039422C"/>
    <w:rsid w:val="003A07AC"/>
    <w:rsid w:val="003A23B7"/>
    <w:rsid w:val="003D6849"/>
    <w:rsid w:val="003E5141"/>
    <w:rsid w:val="003E65CB"/>
    <w:rsid w:val="003E701D"/>
    <w:rsid w:val="003F0300"/>
    <w:rsid w:val="003F1052"/>
    <w:rsid w:val="00403147"/>
    <w:rsid w:val="004053F2"/>
    <w:rsid w:val="0041348F"/>
    <w:rsid w:val="00437E29"/>
    <w:rsid w:val="00444A63"/>
    <w:rsid w:val="00447953"/>
    <w:rsid w:val="00457F4B"/>
    <w:rsid w:val="004629B9"/>
    <w:rsid w:val="00467B82"/>
    <w:rsid w:val="0047329E"/>
    <w:rsid w:val="0048179C"/>
    <w:rsid w:val="00491E8C"/>
    <w:rsid w:val="00492383"/>
    <w:rsid w:val="00492705"/>
    <w:rsid w:val="004A3A70"/>
    <w:rsid w:val="004A753D"/>
    <w:rsid w:val="004B30A9"/>
    <w:rsid w:val="004B490D"/>
    <w:rsid w:val="004B5682"/>
    <w:rsid w:val="004C5FE6"/>
    <w:rsid w:val="004D112D"/>
    <w:rsid w:val="004F6503"/>
    <w:rsid w:val="004F709D"/>
    <w:rsid w:val="0050549C"/>
    <w:rsid w:val="00507639"/>
    <w:rsid w:val="0052466E"/>
    <w:rsid w:val="0053572B"/>
    <w:rsid w:val="00542867"/>
    <w:rsid w:val="00550F0A"/>
    <w:rsid w:val="00552474"/>
    <w:rsid w:val="00553EA2"/>
    <w:rsid w:val="00553FDF"/>
    <w:rsid w:val="00576285"/>
    <w:rsid w:val="00580E14"/>
    <w:rsid w:val="0058780B"/>
    <w:rsid w:val="00587F58"/>
    <w:rsid w:val="005A6411"/>
    <w:rsid w:val="005C2C98"/>
    <w:rsid w:val="005C42DC"/>
    <w:rsid w:val="005C6AE2"/>
    <w:rsid w:val="005D082D"/>
    <w:rsid w:val="005E0768"/>
    <w:rsid w:val="005E568E"/>
    <w:rsid w:val="005F0704"/>
    <w:rsid w:val="005F3EF8"/>
    <w:rsid w:val="005F781D"/>
    <w:rsid w:val="00615AD8"/>
    <w:rsid w:val="00625B34"/>
    <w:rsid w:val="0062778B"/>
    <w:rsid w:val="006278E4"/>
    <w:rsid w:val="00634499"/>
    <w:rsid w:val="00647FC9"/>
    <w:rsid w:val="00650B80"/>
    <w:rsid w:val="00656FCE"/>
    <w:rsid w:val="00661B6A"/>
    <w:rsid w:val="00672082"/>
    <w:rsid w:val="006759C2"/>
    <w:rsid w:val="006857B6"/>
    <w:rsid w:val="006916A6"/>
    <w:rsid w:val="006A0889"/>
    <w:rsid w:val="006A1D9D"/>
    <w:rsid w:val="006A3134"/>
    <w:rsid w:val="006A3C22"/>
    <w:rsid w:val="006B7EF9"/>
    <w:rsid w:val="006C19A1"/>
    <w:rsid w:val="006C6307"/>
    <w:rsid w:val="006C7810"/>
    <w:rsid w:val="006D4731"/>
    <w:rsid w:val="006D5A43"/>
    <w:rsid w:val="006D68D7"/>
    <w:rsid w:val="006D799B"/>
    <w:rsid w:val="006E3E86"/>
    <w:rsid w:val="006F383A"/>
    <w:rsid w:val="00706B7C"/>
    <w:rsid w:val="00715A9A"/>
    <w:rsid w:val="00715C13"/>
    <w:rsid w:val="00724D5F"/>
    <w:rsid w:val="00734AEA"/>
    <w:rsid w:val="00740242"/>
    <w:rsid w:val="00740FFD"/>
    <w:rsid w:val="00763286"/>
    <w:rsid w:val="00767C73"/>
    <w:rsid w:val="00790264"/>
    <w:rsid w:val="007907A8"/>
    <w:rsid w:val="007A284F"/>
    <w:rsid w:val="007D3471"/>
    <w:rsid w:val="007D4274"/>
    <w:rsid w:val="007E5469"/>
    <w:rsid w:val="007F2767"/>
    <w:rsid w:val="007F58DF"/>
    <w:rsid w:val="00805DD6"/>
    <w:rsid w:val="008060D6"/>
    <w:rsid w:val="00807100"/>
    <w:rsid w:val="00827D2A"/>
    <w:rsid w:val="0083218D"/>
    <w:rsid w:val="00836590"/>
    <w:rsid w:val="00874B24"/>
    <w:rsid w:val="00886619"/>
    <w:rsid w:val="0089450F"/>
    <w:rsid w:val="008A4480"/>
    <w:rsid w:val="008B3B09"/>
    <w:rsid w:val="008C3825"/>
    <w:rsid w:val="008D580D"/>
    <w:rsid w:val="008E6640"/>
    <w:rsid w:val="008E695E"/>
    <w:rsid w:val="008E6AB5"/>
    <w:rsid w:val="008F6A19"/>
    <w:rsid w:val="00903C20"/>
    <w:rsid w:val="00903C62"/>
    <w:rsid w:val="00904208"/>
    <w:rsid w:val="009064D6"/>
    <w:rsid w:val="00912747"/>
    <w:rsid w:val="00917DF4"/>
    <w:rsid w:val="00927DE5"/>
    <w:rsid w:val="0095131B"/>
    <w:rsid w:val="0095249C"/>
    <w:rsid w:val="009572EB"/>
    <w:rsid w:val="009628EC"/>
    <w:rsid w:val="00964A10"/>
    <w:rsid w:val="009721A8"/>
    <w:rsid w:val="009A09BA"/>
    <w:rsid w:val="009A47B1"/>
    <w:rsid w:val="009B116A"/>
    <w:rsid w:val="009C29F4"/>
    <w:rsid w:val="009D22F8"/>
    <w:rsid w:val="009D3079"/>
    <w:rsid w:val="009D47D7"/>
    <w:rsid w:val="009E0BF1"/>
    <w:rsid w:val="009E3758"/>
    <w:rsid w:val="009E4627"/>
    <w:rsid w:val="009E46B2"/>
    <w:rsid w:val="009F564D"/>
    <w:rsid w:val="009F79C1"/>
    <w:rsid w:val="00A02743"/>
    <w:rsid w:val="00A07608"/>
    <w:rsid w:val="00A1069B"/>
    <w:rsid w:val="00A13318"/>
    <w:rsid w:val="00A30514"/>
    <w:rsid w:val="00A408B4"/>
    <w:rsid w:val="00A40C68"/>
    <w:rsid w:val="00A41B8C"/>
    <w:rsid w:val="00A42F8E"/>
    <w:rsid w:val="00A63BF7"/>
    <w:rsid w:val="00A71A35"/>
    <w:rsid w:val="00A8766A"/>
    <w:rsid w:val="00A96AF0"/>
    <w:rsid w:val="00AB6F62"/>
    <w:rsid w:val="00AC31AC"/>
    <w:rsid w:val="00AC3F5A"/>
    <w:rsid w:val="00AD1198"/>
    <w:rsid w:val="00AD2445"/>
    <w:rsid w:val="00AD5ABF"/>
    <w:rsid w:val="00AD7746"/>
    <w:rsid w:val="00AF453A"/>
    <w:rsid w:val="00B03EBF"/>
    <w:rsid w:val="00B121EC"/>
    <w:rsid w:val="00B27178"/>
    <w:rsid w:val="00B30153"/>
    <w:rsid w:val="00B36FCA"/>
    <w:rsid w:val="00B37268"/>
    <w:rsid w:val="00B40A53"/>
    <w:rsid w:val="00B47622"/>
    <w:rsid w:val="00B5470E"/>
    <w:rsid w:val="00B62878"/>
    <w:rsid w:val="00B62F25"/>
    <w:rsid w:val="00B62F42"/>
    <w:rsid w:val="00B71BB8"/>
    <w:rsid w:val="00B92823"/>
    <w:rsid w:val="00BA40E3"/>
    <w:rsid w:val="00BA4D8C"/>
    <w:rsid w:val="00BD6A74"/>
    <w:rsid w:val="00BE69B6"/>
    <w:rsid w:val="00BE74FA"/>
    <w:rsid w:val="00C003B7"/>
    <w:rsid w:val="00C06DA7"/>
    <w:rsid w:val="00C13C4D"/>
    <w:rsid w:val="00C15E34"/>
    <w:rsid w:val="00C17C80"/>
    <w:rsid w:val="00C21E6B"/>
    <w:rsid w:val="00C36254"/>
    <w:rsid w:val="00C37862"/>
    <w:rsid w:val="00C47B22"/>
    <w:rsid w:val="00C708EC"/>
    <w:rsid w:val="00C80071"/>
    <w:rsid w:val="00C869C4"/>
    <w:rsid w:val="00C875C0"/>
    <w:rsid w:val="00CA3252"/>
    <w:rsid w:val="00CB71D3"/>
    <w:rsid w:val="00CC709C"/>
    <w:rsid w:val="00CC76B1"/>
    <w:rsid w:val="00CD65C8"/>
    <w:rsid w:val="00CF7955"/>
    <w:rsid w:val="00D07AE6"/>
    <w:rsid w:val="00D159E8"/>
    <w:rsid w:val="00D3065E"/>
    <w:rsid w:val="00D31A52"/>
    <w:rsid w:val="00D33492"/>
    <w:rsid w:val="00D37A5D"/>
    <w:rsid w:val="00D47B3C"/>
    <w:rsid w:val="00D53F31"/>
    <w:rsid w:val="00D62151"/>
    <w:rsid w:val="00D63D0A"/>
    <w:rsid w:val="00D67DAD"/>
    <w:rsid w:val="00D7648D"/>
    <w:rsid w:val="00D85196"/>
    <w:rsid w:val="00D85A37"/>
    <w:rsid w:val="00D910DD"/>
    <w:rsid w:val="00D96B71"/>
    <w:rsid w:val="00DA70D2"/>
    <w:rsid w:val="00DB73F1"/>
    <w:rsid w:val="00DC0B16"/>
    <w:rsid w:val="00DC715F"/>
    <w:rsid w:val="00DD0B03"/>
    <w:rsid w:val="00DD14B8"/>
    <w:rsid w:val="00DE2551"/>
    <w:rsid w:val="00DE7431"/>
    <w:rsid w:val="00E0789E"/>
    <w:rsid w:val="00E17221"/>
    <w:rsid w:val="00E2071A"/>
    <w:rsid w:val="00E3E669"/>
    <w:rsid w:val="00E41C51"/>
    <w:rsid w:val="00E45B6D"/>
    <w:rsid w:val="00E53DF1"/>
    <w:rsid w:val="00E544EF"/>
    <w:rsid w:val="00E54D95"/>
    <w:rsid w:val="00E65F8D"/>
    <w:rsid w:val="00E73402"/>
    <w:rsid w:val="00E74604"/>
    <w:rsid w:val="00E80795"/>
    <w:rsid w:val="00E83122"/>
    <w:rsid w:val="00E907F4"/>
    <w:rsid w:val="00E94940"/>
    <w:rsid w:val="00E9587B"/>
    <w:rsid w:val="00E97248"/>
    <w:rsid w:val="00EA6A2F"/>
    <w:rsid w:val="00EC0F77"/>
    <w:rsid w:val="00EC4751"/>
    <w:rsid w:val="00ED02D2"/>
    <w:rsid w:val="00ED6BC1"/>
    <w:rsid w:val="00EE3786"/>
    <w:rsid w:val="00EF4BDC"/>
    <w:rsid w:val="00F024EA"/>
    <w:rsid w:val="00F03F8C"/>
    <w:rsid w:val="00F04183"/>
    <w:rsid w:val="00F05EC5"/>
    <w:rsid w:val="00F06DC4"/>
    <w:rsid w:val="00F21B52"/>
    <w:rsid w:val="00F312EE"/>
    <w:rsid w:val="00F32886"/>
    <w:rsid w:val="00F42768"/>
    <w:rsid w:val="00F472E4"/>
    <w:rsid w:val="00F52086"/>
    <w:rsid w:val="00F53CB5"/>
    <w:rsid w:val="00F54748"/>
    <w:rsid w:val="00F5790B"/>
    <w:rsid w:val="00F62918"/>
    <w:rsid w:val="00F651ED"/>
    <w:rsid w:val="00F6682B"/>
    <w:rsid w:val="00F66D90"/>
    <w:rsid w:val="00F7146D"/>
    <w:rsid w:val="00F727D2"/>
    <w:rsid w:val="00F72DB7"/>
    <w:rsid w:val="00F74FB5"/>
    <w:rsid w:val="00F8367C"/>
    <w:rsid w:val="00F85BB7"/>
    <w:rsid w:val="00F87189"/>
    <w:rsid w:val="00FA1015"/>
    <w:rsid w:val="00FA30A8"/>
    <w:rsid w:val="00FB5EF3"/>
    <w:rsid w:val="00FC05E6"/>
    <w:rsid w:val="00FC49C0"/>
    <w:rsid w:val="00FD5F8E"/>
    <w:rsid w:val="00FD732D"/>
    <w:rsid w:val="00FE3D79"/>
    <w:rsid w:val="00FE6E98"/>
    <w:rsid w:val="00FF1753"/>
    <w:rsid w:val="00FF4D33"/>
    <w:rsid w:val="00FF6E31"/>
    <w:rsid w:val="0174C174"/>
    <w:rsid w:val="01A259AD"/>
    <w:rsid w:val="024243BB"/>
    <w:rsid w:val="02654C4B"/>
    <w:rsid w:val="029718BF"/>
    <w:rsid w:val="02ADB6FC"/>
    <w:rsid w:val="030EA0FD"/>
    <w:rsid w:val="0344B5D3"/>
    <w:rsid w:val="035C7C6F"/>
    <w:rsid w:val="042BF58C"/>
    <w:rsid w:val="04971909"/>
    <w:rsid w:val="04CD9C27"/>
    <w:rsid w:val="05E4759E"/>
    <w:rsid w:val="0751F8FD"/>
    <w:rsid w:val="0759E184"/>
    <w:rsid w:val="07D491C8"/>
    <w:rsid w:val="07EA13A7"/>
    <w:rsid w:val="07FB3BEC"/>
    <w:rsid w:val="086D5C9D"/>
    <w:rsid w:val="086DFAA6"/>
    <w:rsid w:val="08E6D8F2"/>
    <w:rsid w:val="09605547"/>
    <w:rsid w:val="096DFF4A"/>
    <w:rsid w:val="09720666"/>
    <w:rsid w:val="09BD45A3"/>
    <w:rsid w:val="0AB25CDD"/>
    <w:rsid w:val="0B0A6723"/>
    <w:rsid w:val="0B84A9E9"/>
    <w:rsid w:val="0BAC209C"/>
    <w:rsid w:val="0BD9028D"/>
    <w:rsid w:val="0BDD3366"/>
    <w:rsid w:val="0CECF4DB"/>
    <w:rsid w:val="0D3A8873"/>
    <w:rsid w:val="0DAB76CA"/>
    <w:rsid w:val="0E21C7DB"/>
    <w:rsid w:val="0E24E474"/>
    <w:rsid w:val="0EC413CD"/>
    <w:rsid w:val="0EF85BCD"/>
    <w:rsid w:val="0FD65062"/>
    <w:rsid w:val="0FE147EA"/>
    <w:rsid w:val="10A2D74F"/>
    <w:rsid w:val="11097F9D"/>
    <w:rsid w:val="1173B959"/>
    <w:rsid w:val="11C0AA23"/>
    <w:rsid w:val="1237529A"/>
    <w:rsid w:val="12C6961B"/>
    <w:rsid w:val="13D967E4"/>
    <w:rsid w:val="153F9E21"/>
    <w:rsid w:val="163D07ED"/>
    <w:rsid w:val="16B65767"/>
    <w:rsid w:val="17F14157"/>
    <w:rsid w:val="1852BF40"/>
    <w:rsid w:val="192A2D0F"/>
    <w:rsid w:val="1934D24E"/>
    <w:rsid w:val="19A3DC35"/>
    <w:rsid w:val="1A06BBDF"/>
    <w:rsid w:val="1A33CD7A"/>
    <w:rsid w:val="1A51AB1F"/>
    <w:rsid w:val="1A864425"/>
    <w:rsid w:val="1B4DEE11"/>
    <w:rsid w:val="1BA97327"/>
    <w:rsid w:val="1C1C2D8D"/>
    <w:rsid w:val="1C21CA11"/>
    <w:rsid w:val="1C414B62"/>
    <w:rsid w:val="1D1136E3"/>
    <w:rsid w:val="1D59E5FD"/>
    <w:rsid w:val="1DA7A8D2"/>
    <w:rsid w:val="1DD5660D"/>
    <w:rsid w:val="1DDA5A34"/>
    <w:rsid w:val="1DFCDB00"/>
    <w:rsid w:val="1E30265B"/>
    <w:rsid w:val="1EC3995A"/>
    <w:rsid w:val="1EE2251D"/>
    <w:rsid w:val="1EF096DC"/>
    <w:rsid w:val="1F762A95"/>
    <w:rsid w:val="1F8AF643"/>
    <w:rsid w:val="1FAF0A20"/>
    <w:rsid w:val="1FF65B5F"/>
    <w:rsid w:val="207DF57E"/>
    <w:rsid w:val="2155C2F5"/>
    <w:rsid w:val="2210098B"/>
    <w:rsid w:val="22CEFE72"/>
    <w:rsid w:val="230B2AF2"/>
    <w:rsid w:val="230C8123"/>
    <w:rsid w:val="2419A70A"/>
    <w:rsid w:val="242237F1"/>
    <w:rsid w:val="24599F77"/>
    <w:rsid w:val="24E8BF81"/>
    <w:rsid w:val="25002027"/>
    <w:rsid w:val="25216D36"/>
    <w:rsid w:val="2651D4EB"/>
    <w:rsid w:val="27553A1F"/>
    <w:rsid w:val="27F142C2"/>
    <w:rsid w:val="28587680"/>
    <w:rsid w:val="2877D6FE"/>
    <w:rsid w:val="28D82169"/>
    <w:rsid w:val="2997527E"/>
    <w:rsid w:val="299DC4B2"/>
    <w:rsid w:val="29D86365"/>
    <w:rsid w:val="2A031FD4"/>
    <w:rsid w:val="2A6C2B98"/>
    <w:rsid w:val="2ABA0B34"/>
    <w:rsid w:val="2B25AF4D"/>
    <w:rsid w:val="2B787E78"/>
    <w:rsid w:val="2BF3F80A"/>
    <w:rsid w:val="2CC01551"/>
    <w:rsid w:val="2CDAD644"/>
    <w:rsid w:val="2D0F5BAA"/>
    <w:rsid w:val="2D5C7886"/>
    <w:rsid w:val="2D8DB82D"/>
    <w:rsid w:val="2E848D6E"/>
    <w:rsid w:val="2EB69FA1"/>
    <w:rsid w:val="2EB93FB4"/>
    <w:rsid w:val="2FC560BB"/>
    <w:rsid w:val="3066E8F5"/>
    <w:rsid w:val="307B4AFD"/>
    <w:rsid w:val="3104D838"/>
    <w:rsid w:val="3176FA7B"/>
    <w:rsid w:val="3182451F"/>
    <w:rsid w:val="31C11B6E"/>
    <w:rsid w:val="31D0F57F"/>
    <w:rsid w:val="32C6B5AF"/>
    <w:rsid w:val="32DEAF1C"/>
    <w:rsid w:val="32EBF87C"/>
    <w:rsid w:val="32FC6A05"/>
    <w:rsid w:val="33286669"/>
    <w:rsid w:val="3366A3BE"/>
    <w:rsid w:val="33BE66AF"/>
    <w:rsid w:val="340F44A3"/>
    <w:rsid w:val="3479597F"/>
    <w:rsid w:val="349E5C85"/>
    <w:rsid w:val="34AE3696"/>
    <w:rsid w:val="34B2988A"/>
    <w:rsid w:val="36773B4E"/>
    <w:rsid w:val="36783369"/>
    <w:rsid w:val="3735AE92"/>
    <w:rsid w:val="374DDAD0"/>
    <w:rsid w:val="385A9C03"/>
    <w:rsid w:val="38661647"/>
    <w:rsid w:val="395D3339"/>
    <w:rsid w:val="3A734A32"/>
    <w:rsid w:val="3A94FCCC"/>
    <w:rsid w:val="3B68675A"/>
    <w:rsid w:val="3B761255"/>
    <w:rsid w:val="3BD4CD20"/>
    <w:rsid w:val="3C3ED40B"/>
    <w:rsid w:val="3C83F8CC"/>
    <w:rsid w:val="3CC13A05"/>
    <w:rsid w:val="3D60645F"/>
    <w:rsid w:val="3E4D3055"/>
    <w:rsid w:val="3ED520F6"/>
    <w:rsid w:val="3F0BD66A"/>
    <w:rsid w:val="40089864"/>
    <w:rsid w:val="401FCC92"/>
    <w:rsid w:val="40E28525"/>
    <w:rsid w:val="41B169F2"/>
    <w:rsid w:val="41B8F1D6"/>
    <w:rsid w:val="41C9308E"/>
    <w:rsid w:val="41D35398"/>
    <w:rsid w:val="41E2C4A8"/>
    <w:rsid w:val="41F68EB3"/>
    <w:rsid w:val="421B9EAF"/>
    <w:rsid w:val="422BAB91"/>
    <w:rsid w:val="422F3B80"/>
    <w:rsid w:val="425EA3A3"/>
    <w:rsid w:val="428573C4"/>
    <w:rsid w:val="42B47514"/>
    <w:rsid w:val="42C9D33B"/>
    <w:rsid w:val="43191994"/>
    <w:rsid w:val="448F4817"/>
    <w:rsid w:val="44CD882E"/>
    <w:rsid w:val="4573EAC9"/>
    <w:rsid w:val="4579E8FE"/>
    <w:rsid w:val="45996A4F"/>
    <w:rsid w:val="45B6EE63"/>
    <w:rsid w:val="45BEDAEE"/>
    <w:rsid w:val="467ABE79"/>
    <w:rsid w:val="46B123C2"/>
    <w:rsid w:val="47A00BE4"/>
    <w:rsid w:val="48542FBE"/>
    <w:rsid w:val="4876C63E"/>
    <w:rsid w:val="488BAF7B"/>
    <w:rsid w:val="48B87A2C"/>
    <w:rsid w:val="4904F8FF"/>
    <w:rsid w:val="4A358E86"/>
    <w:rsid w:val="4A72FD91"/>
    <w:rsid w:val="4B50336D"/>
    <w:rsid w:val="4B958872"/>
    <w:rsid w:val="4BAF80AE"/>
    <w:rsid w:val="4C5F21E9"/>
    <w:rsid w:val="4C81F153"/>
    <w:rsid w:val="4CAEEED5"/>
    <w:rsid w:val="4CC5509F"/>
    <w:rsid w:val="4CE86C32"/>
    <w:rsid w:val="4D67D772"/>
    <w:rsid w:val="4DB25908"/>
    <w:rsid w:val="4DB45645"/>
    <w:rsid w:val="4DF6250B"/>
    <w:rsid w:val="4E0C213B"/>
    <w:rsid w:val="4E6ED313"/>
    <w:rsid w:val="4E825F76"/>
    <w:rsid w:val="4ECA947F"/>
    <w:rsid w:val="4EE72170"/>
    <w:rsid w:val="4F84F8E0"/>
    <w:rsid w:val="4FBAA525"/>
    <w:rsid w:val="4FBF8A66"/>
    <w:rsid w:val="501CAD93"/>
    <w:rsid w:val="506171B1"/>
    <w:rsid w:val="50EA39E1"/>
    <w:rsid w:val="5230F92B"/>
    <w:rsid w:val="52504CAA"/>
    <w:rsid w:val="52B1CF92"/>
    <w:rsid w:val="52BCF5CD"/>
    <w:rsid w:val="53FE5A92"/>
    <w:rsid w:val="543FECED"/>
    <w:rsid w:val="55133175"/>
    <w:rsid w:val="552E9A86"/>
    <w:rsid w:val="55DCE0BC"/>
    <w:rsid w:val="564F9C5F"/>
    <w:rsid w:val="567A7C70"/>
    <w:rsid w:val="568613A5"/>
    <w:rsid w:val="56A6BB39"/>
    <w:rsid w:val="56BDADEF"/>
    <w:rsid w:val="574EEEFB"/>
    <w:rsid w:val="5806DC66"/>
    <w:rsid w:val="583817DA"/>
    <w:rsid w:val="5880F033"/>
    <w:rsid w:val="594E799B"/>
    <w:rsid w:val="59CA4970"/>
    <w:rsid w:val="59E67910"/>
    <w:rsid w:val="5A0E4844"/>
    <w:rsid w:val="5A5AF9E8"/>
    <w:rsid w:val="5AB7B773"/>
    <w:rsid w:val="5AE4B4F5"/>
    <w:rsid w:val="5BA71252"/>
    <w:rsid w:val="5BB0D524"/>
    <w:rsid w:val="5BD8DC8F"/>
    <w:rsid w:val="5C087058"/>
    <w:rsid w:val="5D1B6B8A"/>
    <w:rsid w:val="5D2CEF73"/>
    <w:rsid w:val="5D304D79"/>
    <w:rsid w:val="5DFEB91F"/>
    <w:rsid w:val="5E23A6C6"/>
    <w:rsid w:val="5E7BBAE3"/>
    <w:rsid w:val="5E956D65"/>
    <w:rsid w:val="5EA1ABC0"/>
    <w:rsid w:val="5EE21A0A"/>
    <w:rsid w:val="5EF6EB4E"/>
    <w:rsid w:val="5F98D299"/>
    <w:rsid w:val="5FADA8DC"/>
    <w:rsid w:val="5FC56F78"/>
    <w:rsid w:val="60041404"/>
    <w:rsid w:val="60C2B91E"/>
    <w:rsid w:val="60C90C7C"/>
    <w:rsid w:val="60D683AE"/>
    <w:rsid w:val="6145344B"/>
    <w:rsid w:val="61933966"/>
    <w:rsid w:val="62192354"/>
    <w:rsid w:val="625DEC71"/>
    <w:rsid w:val="638BF147"/>
    <w:rsid w:val="6407CB7C"/>
    <w:rsid w:val="647C8773"/>
    <w:rsid w:val="64C610EE"/>
    <w:rsid w:val="64D45269"/>
    <w:rsid w:val="64DC9797"/>
    <w:rsid w:val="6503ADCB"/>
    <w:rsid w:val="650B07DD"/>
    <w:rsid w:val="657974E7"/>
    <w:rsid w:val="65E7D311"/>
    <w:rsid w:val="6656DA98"/>
    <w:rsid w:val="6666D177"/>
    <w:rsid w:val="666B2F9B"/>
    <w:rsid w:val="666D3590"/>
    <w:rsid w:val="66891D55"/>
    <w:rsid w:val="66C4CC89"/>
    <w:rsid w:val="6770EC5A"/>
    <w:rsid w:val="681513A5"/>
    <w:rsid w:val="6885A24E"/>
    <w:rsid w:val="69304474"/>
    <w:rsid w:val="69A9F39A"/>
    <w:rsid w:val="69C381A3"/>
    <w:rsid w:val="69C67511"/>
    <w:rsid w:val="6A83A551"/>
    <w:rsid w:val="6A9EF9C6"/>
    <w:rsid w:val="6AD2CE6C"/>
    <w:rsid w:val="6ADA5B4F"/>
    <w:rsid w:val="6BA645C5"/>
    <w:rsid w:val="6BBC179E"/>
    <w:rsid w:val="6C34F282"/>
    <w:rsid w:val="6D3DED40"/>
    <w:rsid w:val="6D87A48D"/>
    <w:rsid w:val="6D8FBC17"/>
    <w:rsid w:val="6DBD31A2"/>
    <w:rsid w:val="6E63D2BA"/>
    <w:rsid w:val="6E8D3ECE"/>
    <w:rsid w:val="6ECFA50C"/>
    <w:rsid w:val="6F614D9F"/>
    <w:rsid w:val="702FFF9B"/>
    <w:rsid w:val="7044D770"/>
    <w:rsid w:val="70A9AEC1"/>
    <w:rsid w:val="7140DEFA"/>
    <w:rsid w:val="71ED0BDC"/>
    <w:rsid w:val="72266278"/>
    <w:rsid w:val="723E5BE5"/>
    <w:rsid w:val="724BD317"/>
    <w:rsid w:val="72D59323"/>
    <w:rsid w:val="7364415F"/>
    <w:rsid w:val="742C7326"/>
    <w:rsid w:val="74886B6A"/>
    <w:rsid w:val="74C53DEE"/>
    <w:rsid w:val="7501E8D0"/>
    <w:rsid w:val="7582DC61"/>
    <w:rsid w:val="75DF9EEB"/>
    <w:rsid w:val="761C5453"/>
    <w:rsid w:val="76600BAC"/>
    <w:rsid w:val="7660A324"/>
    <w:rsid w:val="76B90961"/>
    <w:rsid w:val="77B824B4"/>
    <w:rsid w:val="77F8A1ED"/>
    <w:rsid w:val="7802CBD2"/>
    <w:rsid w:val="78D1B146"/>
    <w:rsid w:val="79481B17"/>
    <w:rsid w:val="79CC9277"/>
    <w:rsid w:val="7A3E5916"/>
    <w:rsid w:val="7A66656C"/>
    <w:rsid w:val="7B14C5C7"/>
    <w:rsid w:val="7B2A108B"/>
    <w:rsid w:val="7B2EFA77"/>
    <w:rsid w:val="7B86B539"/>
    <w:rsid w:val="7BAC0396"/>
    <w:rsid w:val="7BD3063A"/>
    <w:rsid w:val="7C0B50D7"/>
    <w:rsid w:val="7C289C84"/>
    <w:rsid w:val="7CB25C90"/>
    <w:rsid w:val="7CBEA4D2"/>
    <w:rsid w:val="7CE6E1F6"/>
    <w:rsid w:val="7D1C5F77"/>
    <w:rsid w:val="7D2B47FE"/>
    <w:rsid w:val="7DAD0FEF"/>
    <w:rsid w:val="7DBBB611"/>
    <w:rsid w:val="7DC55F27"/>
    <w:rsid w:val="7DD3556C"/>
    <w:rsid w:val="7DF206DE"/>
    <w:rsid w:val="7E3082A4"/>
    <w:rsid w:val="7E349AEE"/>
    <w:rsid w:val="7E90932F"/>
    <w:rsid w:val="7EC54B66"/>
    <w:rsid w:val="7EDD44D3"/>
    <w:rsid w:val="7EDD72A5"/>
    <w:rsid w:val="7EF651D2"/>
    <w:rsid w:val="7F0A4255"/>
    <w:rsid w:val="7F41F57A"/>
    <w:rsid w:val="7FD92722"/>
    <w:rsid w:val="7FEEF0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5F3D"/>
  <w15:chartTrackingRefBased/>
  <w15:docId w15:val="{07183417-CEFE-441B-950A-685E421D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67C"/>
    <w:pPr>
      <w:spacing w:after="120"/>
    </w:pPr>
    <w:rPr>
      <w:rFonts w:ascii="Sofia Pro Light" w:hAnsi="Sofia Pro Light"/>
      <w:color w:val="122948"/>
    </w:rPr>
  </w:style>
  <w:style w:type="paragraph" w:styleId="Heading1">
    <w:name w:val="heading 1"/>
    <w:basedOn w:val="Normal"/>
    <w:next w:val="Normal"/>
    <w:link w:val="Heading1Char"/>
    <w:uiPriority w:val="9"/>
    <w:qFormat/>
    <w:rsid w:val="00F8367C"/>
    <w:pPr>
      <w:keepNext/>
      <w:keepLines/>
      <w:spacing w:before="240"/>
      <w:outlineLvl w:val="0"/>
    </w:pPr>
    <w:rPr>
      <w:rFonts w:eastAsiaTheme="majorEastAsia" w:cstheme="majorBidi"/>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367C"/>
    <w:rPr>
      <w:rFonts w:ascii="Sofia Pro Light" w:eastAsiaTheme="majorEastAsia" w:hAnsi="Sofia Pro Light" w:cstheme="majorBidi"/>
      <w:color w:val="122948"/>
      <w:sz w:val="32"/>
      <w:szCs w:val="32"/>
    </w:rPr>
  </w:style>
  <w:style w:type="paragraph" w:styleId="TOCHeading">
    <w:name w:val="TOC Heading"/>
    <w:basedOn w:val="Heading1"/>
    <w:next w:val="Normal"/>
    <w:uiPriority w:val="39"/>
    <w:unhideWhenUsed/>
    <w:qFormat/>
    <w:rsid w:val="00235E64"/>
    <w:pPr>
      <w:outlineLvl w:val="9"/>
    </w:pPr>
    <w:rPr>
      <w:lang w:val="en-US"/>
    </w:rPr>
  </w:style>
  <w:style w:type="table" w:styleId="TableGridLight">
    <w:name w:val="Grid Table Light"/>
    <w:basedOn w:val="TableNormal"/>
    <w:uiPriority w:val="40"/>
    <w:rsid w:val="00B928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6A3C22"/>
    <w:pPr>
      <w:spacing w:after="0" w:line="240" w:lineRule="auto"/>
    </w:pPr>
  </w:style>
  <w:style w:type="paragraph" w:styleId="TOC1">
    <w:name w:val="toc 1"/>
    <w:basedOn w:val="Normal"/>
    <w:next w:val="Normal"/>
    <w:autoRedefine/>
    <w:uiPriority w:val="39"/>
    <w:unhideWhenUsed/>
    <w:rsid w:val="00927DE5"/>
    <w:pPr>
      <w:spacing w:after="100"/>
    </w:pPr>
  </w:style>
  <w:style w:type="character" w:styleId="Hyperlink">
    <w:name w:val="Hyperlink"/>
    <w:basedOn w:val="DefaultParagraphFont"/>
    <w:uiPriority w:val="99"/>
    <w:unhideWhenUsed/>
    <w:rsid w:val="00927DE5"/>
    <w:rPr>
      <w:color w:val="0563C1" w:themeColor="hyperlink"/>
      <w:u w:val="single"/>
    </w:rPr>
  </w:style>
  <w:style w:type="character" w:styleId="UnresolvedMention">
    <w:name w:val="Unresolved Mention"/>
    <w:basedOn w:val="DefaultParagraphFont"/>
    <w:uiPriority w:val="99"/>
    <w:semiHidden/>
    <w:unhideWhenUsed/>
    <w:rsid w:val="00DE2551"/>
    <w:rPr>
      <w:color w:val="605E5C"/>
      <w:shd w:val="clear" w:color="auto" w:fill="E1DFDD"/>
    </w:rPr>
  </w:style>
  <w:style w:type="character" w:styleId="CommentReference">
    <w:name w:val="annotation reference"/>
    <w:basedOn w:val="DefaultParagraphFont"/>
    <w:uiPriority w:val="99"/>
    <w:semiHidden/>
    <w:unhideWhenUsed/>
    <w:rsid w:val="00054F89"/>
    <w:rPr>
      <w:sz w:val="16"/>
      <w:szCs w:val="16"/>
    </w:rPr>
  </w:style>
  <w:style w:type="paragraph" w:styleId="CommentText">
    <w:name w:val="annotation text"/>
    <w:basedOn w:val="Normal"/>
    <w:link w:val="CommentTextChar"/>
    <w:uiPriority w:val="99"/>
    <w:semiHidden/>
    <w:unhideWhenUsed/>
    <w:rsid w:val="00054F89"/>
    <w:pPr>
      <w:spacing w:line="240" w:lineRule="auto"/>
    </w:pPr>
    <w:rPr>
      <w:sz w:val="20"/>
      <w:szCs w:val="20"/>
    </w:rPr>
  </w:style>
  <w:style w:type="character" w:customStyle="1" w:styleId="CommentTextChar">
    <w:name w:val="Comment Text Char"/>
    <w:basedOn w:val="DefaultParagraphFont"/>
    <w:link w:val="CommentText"/>
    <w:uiPriority w:val="99"/>
    <w:semiHidden/>
    <w:rsid w:val="00054F89"/>
    <w:rPr>
      <w:sz w:val="20"/>
      <w:szCs w:val="20"/>
    </w:rPr>
  </w:style>
  <w:style w:type="paragraph" w:styleId="CommentSubject">
    <w:name w:val="annotation subject"/>
    <w:basedOn w:val="CommentText"/>
    <w:next w:val="CommentText"/>
    <w:link w:val="CommentSubjectChar"/>
    <w:uiPriority w:val="99"/>
    <w:semiHidden/>
    <w:unhideWhenUsed/>
    <w:rsid w:val="00054F89"/>
    <w:rPr>
      <w:b/>
      <w:bCs/>
    </w:rPr>
  </w:style>
  <w:style w:type="character" w:customStyle="1" w:styleId="CommentSubjectChar">
    <w:name w:val="Comment Subject Char"/>
    <w:basedOn w:val="CommentTextChar"/>
    <w:link w:val="CommentSubject"/>
    <w:uiPriority w:val="99"/>
    <w:semiHidden/>
    <w:rsid w:val="00054F89"/>
    <w:rPr>
      <w:b/>
      <w:bCs/>
      <w:sz w:val="20"/>
      <w:szCs w:val="20"/>
    </w:rPr>
  </w:style>
  <w:style w:type="paragraph" w:styleId="ListParagraph">
    <w:name w:val="List Paragraph"/>
    <w:basedOn w:val="Normal"/>
    <w:uiPriority w:val="34"/>
    <w:qFormat/>
    <w:rsid w:val="00CF7955"/>
    <w:pPr>
      <w:ind w:left="720"/>
      <w:contextualSpacing/>
    </w:pPr>
  </w:style>
  <w:style w:type="paragraph" w:styleId="Header">
    <w:name w:val="header"/>
    <w:basedOn w:val="Normal"/>
    <w:link w:val="HeaderChar"/>
    <w:uiPriority w:val="99"/>
    <w:unhideWhenUsed/>
    <w:rsid w:val="009E4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627"/>
  </w:style>
  <w:style w:type="paragraph" w:styleId="Footer">
    <w:name w:val="footer"/>
    <w:basedOn w:val="Normal"/>
    <w:link w:val="FooterChar"/>
    <w:uiPriority w:val="99"/>
    <w:unhideWhenUsed/>
    <w:rsid w:val="009E4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lobalewaste.org/country-sheets/" TargetMode="External"/><Relationship Id="rId17" Type="http://schemas.openxmlformats.org/officeDocument/2006/relationships/footer" Target="footer2.xml"/><Relationship Id="R869b9fd9aa0642f5"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ma.com/mobilefordevelopment/e-waste-legislative-framework-ma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61595D14654C43A2480680D4A4438F"/>
        <w:category>
          <w:name w:val="General"/>
          <w:gallery w:val="placeholder"/>
        </w:category>
        <w:types>
          <w:type w:val="bbPlcHdr"/>
        </w:types>
        <w:behaviors>
          <w:behavior w:val="content"/>
        </w:behaviors>
        <w:guid w:val="{A063E6D9-E306-4014-B713-897DD1FC864E}"/>
      </w:docPartPr>
      <w:docPartBody>
        <w:p w:rsidR="00000000" w:rsidRDefault="00917709" w:rsidP="00917709">
          <w:pPr>
            <w:pStyle w:val="6961595D14654C43A2480680D4A4438F"/>
          </w:pPr>
          <w:r>
            <w:rPr>
              <w:color w:val="2F5496" w:themeColor="accent1" w:themeShade="BF"/>
              <w:sz w:val="24"/>
              <w:szCs w:val="24"/>
            </w:rPr>
            <w:t>[Company name]</w:t>
          </w:r>
        </w:p>
      </w:docPartBody>
    </w:docPart>
    <w:docPart>
      <w:docPartPr>
        <w:name w:val="78884C71D8A24E66B214A0B85C077899"/>
        <w:category>
          <w:name w:val="General"/>
          <w:gallery w:val="placeholder"/>
        </w:category>
        <w:types>
          <w:type w:val="bbPlcHdr"/>
        </w:types>
        <w:behaviors>
          <w:behavior w:val="content"/>
        </w:behaviors>
        <w:guid w:val="{9FF3F0BF-2493-487E-B43E-AD5B13E83D06}"/>
      </w:docPartPr>
      <w:docPartBody>
        <w:p w:rsidR="00000000" w:rsidRDefault="00917709" w:rsidP="00917709">
          <w:pPr>
            <w:pStyle w:val="78884C71D8A24E66B214A0B85C077899"/>
          </w:pPr>
          <w:r>
            <w:rPr>
              <w:rFonts w:asciiTheme="majorHAnsi" w:eastAsiaTheme="majorEastAsia" w:hAnsiTheme="majorHAnsi" w:cstheme="majorBidi"/>
              <w:color w:val="4472C4" w:themeColor="accent1"/>
              <w:sz w:val="88"/>
              <w:szCs w:val="88"/>
            </w:rPr>
            <w:t>[Document title]</w:t>
          </w:r>
        </w:p>
      </w:docPartBody>
    </w:docPart>
    <w:docPart>
      <w:docPartPr>
        <w:name w:val="B76A12248F684297BB56B56FF2EE4D6B"/>
        <w:category>
          <w:name w:val="General"/>
          <w:gallery w:val="placeholder"/>
        </w:category>
        <w:types>
          <w:type w:val="bbPlcHdr"/>
        </w:types>
        <w:behaviors>
          <w:behavior w:val="content"/>
        </w:behaviors>
        <w:guid w:val="{0B6DAEE5-6751-4865-83B5-BD3089FCAC1F}"/>
      </w:docPartPr>
      <w:docPartBody>
        <w:p w:rsidR="00000000" w:rsidRDefault="00917709" w:rsidP="00917709">
          <w:pPr>
            <w:pStyle w:val="B76A12248F684297BB56B56FF2EE4D6B"/>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fia Pro Light">
    <w:panose1 w:val="00000500000000000000"/>
    <w:charset w:val="00"/>
    <w:family w:val="modern"/>
    <w:notTrueType/>
    <w:pitch w:val="variable"/>
    <w:sig w:usb0="A00002EF" w:usb1="5000E07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709"/>
    <w:rsid w:val="00917709"/>
    <w:rsid w:val="00A43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61595D14654C43A2480680D4A4438F">
    <w:name w:val="6961595D14654C43A2480680D4A4438F"/>
    <w:rsid w:val="00917709"/>
  </w:style>
  <w:style w:type="paragraph" w:customStyle="1" w:styleId="78884C71D8A24E66B214A0B85C077899">
    <w:name w:val="78884C71D8A24E66B214A0B85C077899"/>
    <w:rsid w:val="00917709"/>
  </w:style>
  <w:style w:type="paragraph" w:customStyle="1" w:styleId="B76A12248F684297BB56B56FF2EE4D6B">
    <w:name w:val="B76A12248F684297BB56B56FF2EE4D6B"/>
    <w:rsid w:val="00917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A3DDF5B2DE804DB0E2242FDC365615" ma:contentTypeVersion="6" ma:contentTypeDescription="Create a new document." ma:contentTypeScope="" ma:versionID="1f78d18a33809da9a379f03a85538ec9">
  <xsd:schema xmlns:xsd="http://www.w3.org/2001/XMLSchema" xmlns:xs="http://www.w3.org/2001/XMLSchema" xmlns:p="http://schemas.microsoft.com/office/2006/metadata/properties" xmlns:ns2="e3a67569-b3d6-4379-bed0-e3be59b00f1d" xmlns:ns3="93a19bb0-644f-4c11-9d2f-b70f2880fb51" targetNamespace="http://schemas.microsoft.com/office/2006/metadata/properties" ma:root="true" ma:fieldsID="8541f0605ed7995e50396fd9296fee81" ns2:_="" ns3:_="">
    <xsd:import namespace="e3a67569-b3d6-4379-bed0-e3be59b00f1d"/>
    <xsd:import namespace="93a19bb0-644f-4c11-9d2f-b70f2880fb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67569-b3d6-4379-bed0-e3be59b00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19bb0-644f-4c11-9d2f-b70f2880fb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E3BD4-E8BD-459F-ACAA-6D79E374C468}">
  <ds:schemaRefs>
    <ds:schemaRef ds:uri="http://schemas.microsoft.com/sharepoint/v3/contenttype/forms"/>
  </ds:schemaRefs>
</ds:datastoreItem>
</file>

<file path=customXml/itemProps2.xml><?xml version="1.0" encoding="utf-8"?>
<ds:datastoreItem xmlns:ds="http://schemas.openxmlformats.org/officeDocument/2006/customXml" ds:itemID="{03132ECF-2E21-40FA-B5CD-9E592BDDA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67569-b3d6-4379-bed0-e3be59b00f1d"/>
    <ds:schemaRef ds:uri="93a19bb0-644f-4c11-9d2f-b70f2880f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A995D-4E1A-4969-9C78-178465CD71CF}">
  <ds:schemaRefs>
    <ds:schemaRef ds:uri="http://schemas.openxmlformats.org/officeDocument/2006/bibliography"/>
  </ds:schemaRefs>
</ds:datastoreItem>
</file>

<file path=customXml/itemProps4.xml><?xml version="1.0" encoding="utf-8"?>
<ds:datastoreItem xmlns:ds="http://schemas.openxmlformats.org/officeDocument/2006/customXml" ds:itemID="{F313D075-F584-40ED-9E14-45A6188A4E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Circularity Toolkit: E-waste Blueprints</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Blueprint SOP</dc:title>
  <dc:subject>Standard Operating Procedure for e-waste management in an OGS company</dc:subject>
  <dc:creator>Ade Olatunde</dc:creator>
  <cp:keywords/>
  <dc:description/>
  <cp:lastModifiedBy>Rebecca Rhodes</cp:lastModifiedBy>
  <cp:revision>68</cp:revision>
  <dcterms:created xsi:type="dcterms:W3CDTF">2021-09-21T00:08:00Z</dcterms:created>
  <dcterms:modified xsi:type="dcterms:W3CDTF">2021-10-08T19:51:00Z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0x01010076A3DDF5B2DE804DB0E2242FDC365615</vt:lpwstr>
  </property>
</Properties>
</file>